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62" w:rsidRPr="009D25A4" w:rsidRDefault="008065E8" w:rsidP="006F5603">
      <w:pPr>
        <w:spacing w:before="43" w:line="276" w:lineRule="auto"/>
        <w:ind w:left="176"/>
        <w:jc w:val="both"/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C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P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IT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O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LUL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 xml:space="preserve"> 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III: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 xml:space="preserve"> 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n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a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l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i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z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a S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WO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T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2"/>
          <w:sz w:val="22"/>
          <w:szCs w:val="22"/>
        </w:rPr>
        <w:t xml:space="preserve"> 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(an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al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i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z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a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 xml:space="preserve"> 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p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un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ct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el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o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r 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i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, pun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c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el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o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 s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la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b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, 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o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p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o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un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2"/>
          <w:sz w:val="22"/>
          <w:szCs w:val="22"/>
        </w:rPr>
        <w:t>i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t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ă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ț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 xml:space="preserve">ilor și 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a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m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e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nin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ț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ă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i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-1"/>
          <w:sz w:val="22"/>
          <w:szCs w:val="22"/>
        </w:rPr>
        <w:t>l</w:t>
      </w:r>
      <w:r w:rsidRPr="009D25A4">
        <w:rPr>
          <w:rFonts w:ascii="Trebuchet MS" w:eastAsia="Trebuchet MS" w:hAnsi="Trebuchet MS" w:cs="Trebuchet MS"/>
          <w:b/>
          <w:color w:val="000000" w:themeColor="text1"/>
          <w:spacing w:val="1"/>
          <w:sz w:val="22"/>
          <w:szCs w:val="22"/>
        </w:rPr>
        <w:t>o</w:t>
      </w:r>
      <w:r w:rsidRPr="009D25A4">
        <w:rPr>
          <w:rFonts w:ascii="Trebuchet MS" w:eastAsia="Trebuchet MS" w:hAnsi="Trebuchet MS" w:cs="Trebuchet MS"/>
          <w:b/>
          <w:color w:val="000000" w:themeColor="text1"/>
          <w:sz w:val="22"/>
          <w:szCs w:val="22"/>
        </w:rPr>
        <w:t>r)</w:t>
      </w:r>
    </w:p>
    <w:p w:rsidR="008065E8" w:rsidRPr="009D25A4" w:rsidRDefault="00976562" w:rsidP="008065E8">
      <w:pPr>
        <w:spacing w:line="276" w:lineRule="auto"/>
        <w:ind w:left="176" w:firstLine="544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Pentru intocmirea strategiei de dezv</w:t>
      </w:r>
      <w:r w:rsidR="00603DE5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o</w:t>
      </w: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ltare locală 2014-2020 a teritoriului GAL, a fost necesară o analiză detaliată a situației existente pe teritoriu, privind populația, condițiile de mediu, condițiile demografice, activitățile economice, infrastructura de mediu, culturală, socială, educațională existentă.</w:t>
      </w:r>
    </w:p>
    <w:p w:rsidR="00976562" w:rsidRPr="009D25A4" w:rsidRDefault="00976562" w:rsidP="008065E8">
      <w:pPr>
        <w:spacing w:line="276" w:lineRule="auto"/>
        <w:ind w:left="176" w:firstLine="544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Analiza SWOT a rezultat în urma colaborării cu actorii locali</w:t>
      </w:r>
      <w:r w:rsidR="001049BE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din sectoarele public, privat </w:t>
      </w: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și societatea civilă.</w:t>
      </w:r>
    </w:p>
    <w:p w:rsidR="00976562" w:rsidRPr="009D25A4" w:rsidRDefault="00976562" w:rsidP="008065E8">
      <w:pPr>
        <w:spacing w:line="276" w:lineRule="auto"/>
        <w:ind w:left="176" w:firstLine="544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S-au utilizat date statistice, baze de date ale UAT-urilor din zonă, strategiile comunelor din teritoriu, date statistice ale direcțiilor Județene de Statistică Iași și Botoșani.</w:t>
      </w:r>
    </w:p>
    <w:p w:rsidR="006F5603" w:rsidRPr="009D25A4" w:rsidRDefault="006F5603" w:rsidP="006F5603">
      <w:pPr>
        <w:spacing w:line="276" w:lineRule="auto"/>
        <w:jc w:val="right"/>
        <w:rPr>
          <w:rFonts w:ascii="Trebuchet MS" w:hAnsi="Trebuchet MS"/>
          <w:b/>
          <w:i/>
          <w:color w:val="000000" w:themeColor="text1"/>
        </w:rPr>
      </w:pPr>
      <w:r w:rsidRPr="009D25A4">
        <w:rPr>
          <w:rFonts w:ascii="Trebuchet MS" w:hAnsi="Trebuchet MS"/>
          <w:b/>
          <w:i/>
          <w:color w:val="000000" w:themeColor="text1"/>
        </w:rPr>
        <w:t>(Tabelul nr.</w:t>
      </w:r>
      <w:r w:rsidR="009D25A4" w:rsidRPr="009D25A4">
        <w:rPr>
          <w:rFonts w:ascii="Trebuchet MS" w:hAnsi="Trebuchet MS"/>
          <w:b/>
          <w:i/>
          <w:color w:val="000000" w:themeColor="text1"/>
        </w:rPr>
        <w:t xml:space="preserve"> </w:t>
      </w:r>
      <w:r w:rsidRPr="009D25A4">
        <w:rPr>
          <w:rFonts w:ascii="Trebuchet MS" w:hAnsi="Trebuchet MS"/>
          <w:b/>
          <w:i/>
          <w:color w:val="000000" w:themeColor="text1"/>
        </w:rPr>
        <w:t>6- Analiza SWOT)</w:t>
      </w:r>
    </w:p>
    <w:tbl>
      <w:tblPr>
        <w:tblW w:w="1011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72"/>
        <w:gridCol w:w="5338"/>
      </w:tblGrid>
      <w:tr w:rsidR="00626EFC" w:rsidRPr="009D25A4" w:rsidTr="004A0FB8">
        <w:trPr>
          <w:trHeight w:val="232"/>
          <w:jc w:val="center"/>
        </w:trPr>
        <w:tc>
          <w:tcPr>
            <w:tcW w:w="10110" w:type="dxa"/>
            <w:gridSpan w:val="2"/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  <w:t>TERITORIUL/INFRASTRUCTURA/MEDIU</w:t>
            </w:r>
          </w:p>
        </w:tc>
      </w:tr>
      <w:tr w:rsidR="00626EFC" w:rsidRPr="009D25A4" w:rsidTr="005F0F22">
        <w:trPr>
          <w:trHeight w:val="232"/>
          <w:jc w:val="center"/>
        </w:trPr>
        <w:tc>
          <w:tcPr>
            <w:tcW w:w="4772" w:type="dxa"/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TARI</w:t>
            </w:r>
          </w:p>
        </w:tc>
        <w:tc>
          <w:tcPr>
            <w:tcW w:w="5338" w:type="dxa"/>
            <w:shd w:val="clear" w:color="auto" w:fill="000000" w:themeFill="text1"/>
            <w:vAlign w:val="center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SLABE</w:t>
            </w:r>
          </w:p>
        </w:tc>
      </w:tr>
      <w:tr w:rsidR="00626EFC" w:rsidRPr="009D25A4" w:rsidTr="005F0F22">
        <w:trPr>
          <w:trHeight w:val="993"/>
          <w:jc w:val="center"/>
        </w:trPr>
        <w:tc>
          <w:tcPr>
            <w:tcW w:w="4772" w:type="dxa"/>
            <w:shd w:val="clear" w:color="auto" w:fill="C6D9F1" w:themeFill="text2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Teritoriu omogen, situat la 2 km de ora</w:t>
            </w:r>
            <w:r w:rsidR="001049BE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ul Ia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ș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;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                                       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Suprafe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e mari </w:t>
            </w:r>
            <w:r w:rsidR="00593BCD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 teren</w:t>
            </w:r>
            <w:r w:rsidR="001049BE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și iazuri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Calitatea ridicată a solului (fertilitate);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Stabilitatea solului;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Zona prezintă un bogat material biologic şi natural – floră şi faună;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Existenta siturilor Natura 2000;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Existența infrastructurii rutiere modernizate: DJ282 (drum ce leagă județul Iași de jud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ețul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Botoșani și trece prin locali</w:t>
            </w:r>
            <w:r w:rsidR="001049BE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tățile Vlădeni, Șipote, Plugari și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Prăjeni);</w:t>
            </w:r>
          </w:p>
          <w:p w:rsidR="00626EFC" w:rsidRPr="009D25A4" w:rsidRDefault="00626EFC" w:rsidP="00603DE5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Existența cl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ădirilor de patrimoniu și a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monumentelor istorice.</w:t>
            </w:r>
          </w:p>
        </w:tc>
        <w:tc>
          <w:tcPr>
            <w:tcW w:w="5338" w:type="dxa"/>
            <w:shd w:val="clear" w:color="auto" w:fill="EAF1DD" w:themeFill="accent3" w:themeFillTint="33"/>
          </w:tcPr>
          <w:p w:rsidR="00264097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="00264097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a 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duri</w:t>
            </w:r>
            <w:r w:rsidR="00264097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lor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degradate, defri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</w:t>
            </w:r>
            <w:r w:rsidR="00264097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te;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</w:p>
          <w:p w:rsidR="00626EFC" w:rsidRPr="009D25A4" w:rsidRDefault="00264097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F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urturile 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masive 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 lemn</w:t>
            </w:r>
            <w:r w:rsidR="0002568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Drumuri s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te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ti, comunale și județene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(DJ 282) necorespunzăto</w:t>
            </w:r>
            <w:r w:rsidR="001049BE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r</w:t>
            </w:r>
            <w:r w:rsidR="001049BE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264097" w:rsidRPr="009D25A4" w:rsidRDefault="00264097" w:rsidP="0026409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Servicii de agrement și culturale insuficiente;</w:t>
            </w:r>
          </w:p>
          <w:p w:rsidR="00264097" w:rsidRPr="009D25A4" w:rsidRDefault="00264097" w:rsidP="0026409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Lipsă spații</w:t>
            </w:r>
            <w:r w:rsidR="00AE3A1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lor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destinate activităților de recreere și practicare a sporturilor;</w:t>
            </w:r>
          </w:p>
          <w:p w:rsidR="00264097" w:rsidRPr="009D25A4" w:rsidRDefault="00264097" w:rsidP="0026409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Servicii publice locale </w:t>
            </w:r>
            <w:r w:rsidR="009574D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dotate necorespunzător;</w:t>
            </w:r>
          </w:p>
          <w:p w:rsidR="005F0F22" w:rsidRPr="009D25A4" w:rsidRDefault="005F0F22" w:rsidP="0026409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Slaba dotare </w:t>
            </w:r>
            <w:r w:rsidRPr="009D25A4">
              <w:rPr>
                <w:rFonts w:ascii="Trebuchet MS" w:eastAsia="Calibri" w:hAnsi="Trebuchet MS" w:cs="Trebuchet MS"/>
                <w:bCs/>
                <w:color w:val="000000" w:themeColor="text1"/>
                <w:sz w:val="22"/>
                <w:szCs w:val="22"/>
                <w:lang w:val="ro-RO"/>
              </w:rPr>
              <w:t>cu utilaje si echipamente a serviciilor publice locale;</w:t>
            </w:r>
          </w:p>
          <w:p w:rsidR="009574DC" w:rsidRPr="009D25A4" w:rsidRDefault="009574DC" w:rsidP="0026409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Lipsa rețelor de iluminat public și a sistemelor de supraveghere;</w:t>
            </w:r>
          </w:p>
          <w:p w:rsidR="009574DC" w:rsidRPr="009D25A4" w:rsidRDefault="009574DC" w:rsidP="0026409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Infrastructură educațională și culturală necorespunzătoare;</w:t>
            </w:r>
          </w:p>
          <w:p w:rsidR="00264097" w:rsidRPr="009D25A4" w:rsidRDefault="00264097" w:rsidP="00264097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Clădiri </w:t>
            </w:r>
            <w:r w:rsidR="0002568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 patrimoniu deteriorate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03DE5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Infrastructură de broadband </w:t>
            </w:r>
            <w:r w:rsidR="005F1EE6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inexistentă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(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prezența pe lista ”petelor albe” a localităților din regiune)</w:t>
            </w:r>
            <w:r w:rsidR="001049BE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Condiții de viață reduse;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Necesitatea de refacere a peisajului rural;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Lipsa de conștientizare de către copii, tineri și adulți a importanței patrimoniului natural;</w:t>
            </w:r>
          </w:p>
          <w:p w:rsidR="00744C49" w:rsidRPr="009D25A4" w:rsidRDefault="00744C49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Necesitatea privind promovarea și informare</w:t>
            </w:r>
            <w:r w:rsidR="0002568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conserv</w:t>
            </w:r>
            <w:r w:rsidR="0002568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ării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biodiversității;</w:t>
            </w:r>
          </w:p>
          <w:p w:rsidR="00AE3A1F" w:rsidRPr="009D25A4" w:rsidRDefault="00626EFC" w:rsidP="00AE3A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Decalajul față de zonele urbane</w:t>
            </w:r>
            <w:r w:rsidR="00264097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AE3A1F" w:rsidRPr="009D25A4" w:rsidRDefault="00AE3A1F" w:rsidP="00AE3A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Nivel crescut de emisii GES și amoniac datorat practicilor agricole necorespunzătoare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.</w:t>
            </w:r>
          </w:p>
        </w:tc>
      </w:tr>
      <w:tr w:rsidR="00626EFC" w:rsidRPr="009D25A4" w:rsidTr="005F0F22">
        <w:trPr>
          <w:trHeight w:val="334"/>
          <w:jc w:val="center"/>
        </w:trPr>
        <w:tc>
          <w:tcPr>
            <w:tcW w:w="4772" w:type="dxa"/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lastRenderedPageBreak/>
              <w:t>OPORTUNITATI</w:t>
            </w:r>
          </w:p>
        </w:tc>
        <w:tc>
          <w:tcPr>
            <w:tcW w:w="5338" w:type="dxa"/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AMENINTARI</w:t>
            </w:r>
          </w:p>
        </w:tc>
      </w:tr>
      <w:tr w:rsidR="00626EFC" w:rsidRPr="009D25A4" w:rsidTr="005F0F22">
        <w:trPr>
          <w:trHeight w:val="705"/>
          <w:jc w:val="center"/>
        </w:trPr>
        <w:tc>
          <w:tcPr>
            <w:tcW w:w="4772" w:type="dxa"/>
            <w:shd w:val="clear" w:color="auto" w:fill="F2DBDB" w:themeFill="accent2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Interesul Uniunii Europene pentru proiecte ce vizează mediul rural;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Situarea geografică pe graniţa de est a Uniunii Europene;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Dezvoltarea agroturismului;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Existenţa unor proiecte de infrastructură (canalizare, asfaltare drumuri, reţele de gaz şi apă);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Accesul facil către reședința de județ;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Calitatea terenului agricol;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Accesarea fondurilor europene;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Accesare fonduri pentru dezvoltarea infrastructurii rutiere/sociale/educaționale/ sanitare.</w:t>
            </w:r>
          </w:p>
        </w:tc>
        <w:tc>
          <w:tcPr>
            <w:tcW w:w="5338" w:type="dxa"/>
            <w:shd w:val="clear" w:color="auto" w:fill="FDE9D9" w:themeFill="accent6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Lipsa infrastructurii de servicii si utilit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Schimbări ale mediului social, economic şi natural;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Poluarea mediului; </w:t>
            </w:r>
          </w:p>
          <w:p w:rsidR="00626EFC" w:rsidRPr="009D25A4" w:rsidRDefault="00603DE5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istrugerea calit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apelor;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Pericol de inunda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ii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.</w:t>
            </w:r>
          </w:p>
          <w:p w:rsidR="00626EFC" w:rsidRPr="009D25A4" w:rsidRDefault="00626EFC" w:rsidP="004A0FB8">
            <w:pPr>
              <w:pStyle w:val="ListParagraph"/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</w:p>
          <w:p w:rsidR="00626EFC" w:rsidRPr="009D25A4" w:rsidRDefault="00626EFC" w:rsidP="004A0FB8">
            <w:pPr>
              <w:spacing w:line="276" w:lineRule="auto"/>
              <w:ind w:left="360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</w:p>
        </w:tc>
      </w:tr>
    </w:tbl>
    <w:p w:rsidR="00626EFC" w:rsidRPr="009D25A4" w:rsidRDefault="00626EFC" w:rsidP="00626EFC">
      <w:pPr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tbl>
      <w:tblPr>
        <w:tblW w:w="1011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20"/>
        <w:gridCol w:w="4890"/>
      </w:tblGrid>
      <w:tr w:rsidR="00626EFC" w:rsidRPr="009D25A4" w:rsidTr="00626EFC">
        <w:trPr>
          <w:trHeight w:val="232"/>
        </w:trPr>
        <w:tc>
          <w:tcPr>
            <w:tcW w:w="10110" w:type="dxa"/>
            <w:gridSpan w:val="2"/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  <w:t>DEMOGRAFIE</w:t>
            </w:r>
          </w:p>
        </w:tc>
      </w:tr>
      <w:tr w:rsidR="00626EFC" w:rsidRPr="009D25A4" w:rsidTr="0062718F">
        <w:trPr>
          <w:trHeight w:val="232"/>
        </w:trPr>
        <w:tc>
          <w:tcPr>
            <w:tcW w:w="5220" w:type="dxa"/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TARI</w:t>
            </w:r>
          </w:p>
        </w:tc>
        <w:tc>
          <w:tcPr>
            <w:tcW w:w="4890" w:type="dxa"/>
            <w:shd w:val="clear" w:color="auto" w:fill="000000" w:themeFill="text1"/>
            <w:vAlign w:val="center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SLABE</w:t>
            </w:r>
          </w:p>
        </w:tc>
      </w:tr>
      <w:tr w:rsidR="00626EFC" w:rsidRPr="009D25A4" w:rsidTr="0062718F">
        <w:trPr>
          <w:trHeight w:val="633"/>
        </w:trPr>
        <w:tc>
          <w:tcPr>
            <w:tcW w:w="5220" w:type="dxa"/>
            <w:shd w:val="clear" w:color="auto" w:fill="C6D9F1" w:themeFill="text2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Procent ridicat al populaţiei active;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Pondere ridicată a populaţiei care lucrează în agricultură</w:t>
            </w:r>
            <w:r w:rsidR="006F5603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.</w:t>
            </w:r>
          </w:p>
          <w:p w:rsidR="00626EFC" w:rsidRPr="009D25A4" w:rsidRDefault="00626EFC" w:rsidP="004A0FB8">
            <w:pPr>
              <w:spacing w:after="240" w:line="276" w:lineRule="auto"/>
              <w:ind w:left="360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</w:p>
        </w:tc>
        <w:tc>
          <w:tcPr>
            <w:tcW w:w="4890" w:type="dxa"/>
            <w:shd w:val="clear" w:color="auto" w:fill="EAF1DD" w:themeFill="accent3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Scăderea continuă a populaţiei tinere şi creşterea numărului vârstnicilor;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Natalitatea scăzută;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Migraţia tinerilor cu pregătire profesională</w:t>
            </w:r>
            <w:r w:rsidR="009574D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către mediul urban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Densitatea scăzută a populaţiei din teritoriu;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Soldul migraţiei la nivelul teritoriului este negativ;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Num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r de locuri de munc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redus;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hd w:val="clear" w:color="auto" w:fill="EAF1DD" w:themeFill="accent3" w:themeFillTint="33"/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Migraţia forţei de muncă în străinătate;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hd w:val="clear" w:color="auto" w:fill="EAF1DD" w:themeFill="accent3" w:themeFillTint="33"/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Lipsa accesului la informații și cunoștințe în rândul fermierilor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.</w:t>
            </w:r>
          </w:p>
        </w:tc>
      </w:tr>
      <w:tr w:rsidR="00626EFC" w:rsidRPr="009D25A4" w:rsidTr="0062718F">
        <w:trPr>
          <w:trHeight w:val="334"/>
        </w:trPr>
        <w:tc>
          <w:tcPr>
            <w:tcW w:w="5220" w:type="dxa"/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 xml:space="preserve">OPORTUNITATI                                                                                                        </w:t>
            </w:r>
            <w:r w:rsidRPr="005F1EE6"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4890" w:type="dxa"/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 xml:space="preserve">AMENINTARI                                                                                                       </w:t>
            </w:r>
            <w:r w:rsidRPr="005F1EE6"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  <w:t xml:space="preserve"> </w:t>
            </w:r>
          </w:p>
        </w:tc>
      </w:tr>
      <w:tr w:rsidR="00626EFC" w:rsidRPr="009D25A4" w:rsidTr="0062718F">
        <w:trPr>
          <w:trHeight w:val="1272"/>
        </w:trPr>
        <w:tc>
          <w:tcPr>
            <w:tcW w:w="5220" w:type="dxa"/>
            <w:shd w:val="clear" w:color="auto" w:fill="F2DBDB" w:themeFill="accent2" w:themeFillTint="33"/>
          </w:tcPr>
          <w:p w:rsidR="00626EFC" w:rsidRPr="009D25A4" w:rsidRDefault="006F5603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re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terea sporului natural prin 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î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ncurajarea stabilirii familiilor tinere 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Incurajarea re</w:t>
            </w:r>
            <w:r w:rsidR="001049BE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î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ntoarcerii celor pleca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 prin cre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terea oportunit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ilor economice;</w:t>
            </w:r>
          </w:p>
          <w:p w:rsidR="00626EFC" w:rsidRPr="009D25A4" w:rsidRDefault="006F5603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F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inan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ță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ri pentru activit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 non-agricole;</w:t>
            </w:r>
          </w:p>
          <w:p w:rsidR="00626EFC" w:rsidRPr="009D25A4" w:rsidRDefault="006F5603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ccesul populației 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la programe de învățare 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și de dezvoltare a activităților antreprenoriale;</w:t>
            </w:r>
          </w:p>
          <w:p w:rsidR="00626EFC" w:rsidRPr="009D25A4" w:rsidRDefault="00626EFC" w:rsidP="00603DE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Existența unor finanțări pentru stimularea tinerilor în vederea r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mânerii în localitățile componente ale GAL</w:t>
            </w:r>
            <w:r w:rsidR="006F5603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.</w:t>
            </w:r>
          </w:p>
        </w:tc>
        <w:tc>
          <w:tcPr>
            <w:tcW w:w="4890" w:type="dxa"/>
            <w:shd w:val="clear" w:color="auto" w:fill="FDE9D9" w:themeFill="accent6" w:themeFillTint="33"/>
          </w:tcPr>
          <w:p w:rsidR="001049BE" w:rsidRPr="009D25A4" w:rsidRDefault="00626EFC" w:rsidP="001049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Permanentizarea s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r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ciei;</w:t>
            </w:r>
          </w:p>
          <w:p w:rsidR="00626EFC" w:rsidRPr="009D25A4" w:rsidRDefault="00626EFC" w:rsidP="001049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Depopularea zonei;</w:t>
            </w:r>
          </w:p>
          <w:p w:rsidR="00626EFC" w:rsidRPr="009D25A4" w:rsidRDefault="00626EFC" w:rsidP="001049B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Condiții de viață slabe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.</w:t>
            </w:r>
          </w:p>
        </w:tc>
      </w:tr>
    </w:tbl>
    <w:p w:rsidR="006F5603" w:rsidRPr="009D25A4" w:rsidRDefault="006F5603">
      <w:pPr>
        <w:rPr>
          <w:color w:val="000000" w:themeColor="text1"/>
        </w:rPr>
      </w:pPr>
    </w:p>
    <w:tbl>
      <w:tblPr>
        <w:tblW w:w="1011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30"/>
        <w:gridCol w:w="4980"/>
      </w:tblGrid>
      <w:tr w:rsidR="00626EFC" w:rsidRPr="009D25A4" w:rsidTr="004A0FB8">
        <w:trPr>
          <w:trHeight w:val="232"/>
        </w:trPr>
        <w:tc>
          <w:tcPr>
            <w:tcW w:w="10110" w:type="dxa"/>
            <w:gridSpan w:val="2"/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  <w:t>ACTIVITĂȚI ECONOMICE</w:t>
            </w:r>
          </w:p>
        </w:tc>
      </w:tr>
      <w:tr w:rsidR="00626EFC" w:rsidRPr="009D25A4" w:rsidTr="006F5603">
        <w:trPr>
          <w:trHeight w:val="232"/>
        </w:trPr>
        <w:tc>
          <w:tcPr>
            <w:tcW w:w="5130" w:type="dxa"/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TARI</w:t>
            </w:r>
          </w:p>
        </w:tc>
        <w:tc>
          <w:tcPr>
            <w:tcW w:w="4980" w:type="dxa"/>
            <w:shd w:val="clear" w:color="auto" w:fill="000000" w:themeFill="text1"/>
            <w:vAlign w:val="center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SLABE</w:t>
            </w:r>
          </w:p>
        </w:tc>
      </w:tr>
      <w:tr w:rsidR="00626EFC" w:rsidRPr="009D25A4" w:rsidTr="006F5603">
        <w:trPr>
          <w:trHeight w:val="453"/>
        </w:trPr>
        <w:tc>
          <w:tcPr>
            <w:tcW w:w="5130" w:type="dxa"/>
            <w:shd w:val="clear" w:color="auto" w:fill="C6D9F1" w:themeFill="text2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Existenţa unor forme asociative agricole;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Existenţa pieţelor de desfacere în apropierea comunelor situate în proximitatea mun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icipiului 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Ia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Practicarea agriculturii;</w:t>
            </w:r>
          </w:p>
          <w:p w:rsidR="00626EFC" w:rsidRPr="009D25A4" w:rsidRDefault="00025689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Existența terenurilor cu </w:t>
            </w:r>
            <w:r w:rsidR="00593BCD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categorii de folosință diversificate</w:t>
            </w:r>
            <w:r w:rsidR="00276E8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(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v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ii, livezi, păşune, cereale</w:t>
            </w:r>
            <w:r w:rsidR="00276E8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)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03DE5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Funcţionarea microfermelor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Existenţa terenului agricol;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Activități agricole realizate prin comasarea terenurilor;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Potenţial pentru producţia de produse ecologice;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Aprovizionarea satisfăcătoare a populaţiei cu produse alimentare şi nealimentare;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Sector agricol, cu prec</w:t>
            </w:r>
            <w:r w:rsidR="0062718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dere cultura plantelor </w:t>
            </w:r>
            <w:r w:rsidR="0062718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cerealelor (porumb, floarea soarelui, grâu)</w:t>
            </w:r>
            <w:r w:rsidR="0062718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,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alături de cultura plantelor tehnice  (sfec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la de zahăr)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2718F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Sector important î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 cre</w:t>
            </w:r>
            <w:r w:rsidR="00593BCD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şterea animalelor  (</w:t>
            </w:r>
            <w:r w:rsidR="00276E8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ovine, bovine, porcine, cabaline şi păsări</w:t>
            </w:r>
            <w:r w:rsidR="00593BCD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)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Existenta unor mori de porumb, mori de grâu, prese de ulei, unităţi de prelucrare a laptelui, unităţi de desfacere a produselor industriale şi alimentare;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Există forţă de muncă calif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icată în confecţii îmbrăcămine, 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confecţii încălţăminte, artizanat;</w:t>
            </w:r>
          </w:p>
          <w:p w:rsidR="00626EFC" w:rsidRPr="009D25A4" w:rsidRDefault="00626EFC" w:rsidP="00603DE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 de luciu de ap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este un aspect important pentru multe dintre comunele din GAL;</w:t>
            </w:r>
          </w:p>
          <w:p w:rsidR="00DA44E3" w:rsidRPr="009D25A4" w:rsidRDefault="00DA44E3" w:rsidP="00DA44E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Existența fermieri</w:t>
            </w:r>
            <w:r w:rsidR="00744C4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lor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cu experiență</w:t>
            </w:r>
            <w:r w:rsidR="00744C4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în domeniul agricol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DA44E3" w:rsidRPr="009D25A4" w:rsidRDefault="00DA44E3" w:rsidP="00DA44E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Existența unor societăți</w:t>
            </w:r>
            <w:r w:rsidR="00744C4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având domeniul de activitate: servicii și producție.</w:t>
            </w:r>
          </w:p>
        </w:tc>
        <w:tc>
          <w:tcPr>
            <w:tcW w:w="4980" w:type="dxa"/>
            <w:shd w:val="clear" w:color="auto" w:fill="EAF1DD" w:themeFill="accent3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Spirit antreprenorial scăzut;</w:t>
            </w:r>
          </w:p>
          <w:p w:rsidR="00626EFC" w:rsidRPr="009D25A4" w:rsidRDefault="0062718F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Procent scăzut a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unor locuri de munc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alternative, precum 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 a surselor de venituri adi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ionale din activit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 non-agricole, orientarea for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ei de munc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spre activit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preponderent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agricole;</w:t>
            </w:r>
          </w:p>
          <w:p w:rsidR="00626EFC" w:rsidRPr="009D25A4" w:rsidRDefault="00DA44E3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Număr scăzut de 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întreprinderi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ce desfășoară 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activit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 de  produc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ie;</w:t>
            </w:r>
          </w:p>
          <w:p w:rsidR="00626EFC" w:rsidRPr="009D25A4" w:rsidRDefault="00DA44E3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Număr scăzut de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IMM-urilor orientate 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tre servicii pentru popula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ia rural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Migraţia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forţei de muncă în străinătate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Lipsa formei organizate de practicare a agriculturii;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Îmbătrânirea culturilor pomicole şi viticole;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Agricultura de subzisten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, PIB sc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zut;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Activitati non-agricole dezvoltate într-o pondere redusă;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Activit</w:t>
            </w:r>
            <w:r w:rsidR="00744C49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ile artizanale cu mare poten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ial 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într-o pondere redusă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025689" w:rsidRPr="009D25A4" w:rsidRDefault="00025689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Lipsa de interes privind menținerea și dezvoltarea activităților tradiționale din zonă;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Filierele de produs nu sunt bine dezvoltate (nu exista abator sau sistem centralizat de preluare a produc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iei agricole);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Prelucrare ter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iar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î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 faza incipient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E17A4F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Dotarea slabă a fermelor din cadrul GAL;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Calitate scăzută a producției agricole;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Gradul de inovare și tehnologizare redus;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Managementul exploatațiilor necesită îmbunătățiri;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Producție nediversificată;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Economie rurală nediversificată;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Serviciile pentru populație nedezvoltate;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Acces scăzut la resurse financiare pentru micii antreprenori;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Decalajul față de zonele urbane.</w:t>
            </w:r>
          </w:p>
        </w:tc>
      </w:tr>
    </w:tbl>
    <w:p w:rsidR="006F5603" w:rsidRPr="009D25A4" w:rsidRDefault="006F5603">
      <w:pPr>
        <w:rPr>
          <w:color w:val="000000" w:themeColor="text1"/>
        </w:rPr>
      </w:pPr>
    </w:p>
    <w:tbl>
      <w:tblPr>
        <w:tblW w:w="1011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10"/>
        <w:gridCol w:w="270"/>
        <w:gridCol w:w="4530"/>
      </w:tblGrid>
      <w:tr w:rsidR="00626EFC" w:rsidRPr="009D25A4" w:rsidTr="00276E8F">
        <w:trPr>
          <w:trHeight w:val="334"/>
        </w:trPr>
        <w:tc>
          <w:tcPr>
            <w:tcW w:w="5580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 xml:space="preserve">OPORTUNITATI                                                                                                        </w:t>
            </w:r>
            <w:r w:rsidRPr="005F1EE6"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  <w:t xml:space="preserve"> </w:t>
            </w:r>
          </w:p>
        </w:tc>
        <w:tc>
          <w:tcPr>
            <w:tcW w:w="453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 xml:space="preserve">AMENINTARI                                                                                                       </w:t>
            </w:r>
            <w:r w:rsidRPr="005F1EE6"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  <w:t xml:space="preserve"> </w:t>
            </w:r>
          </w:p>
        </w:tc>
      </w:tr>
      <w:tr w:rsidR="00626EFC" w:rsidRPr="009D25A4" w:rsidTr="00276E8F">
        <w:trPr>
          <w:trHeight w:val="813"/>
        </w:trPr>
        <w:tc>
          <w:tcPr>
            <w:tcW w:w="558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626EFC" w:rsidRPr="009D25A4" w:rsidRDefault="006F5603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F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inanțări î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n cadrul 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U.A.T.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pentru activit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i non-agricole; </w:t>
            </w:r>
          </w:p>
          <w:p w:rsidR="00626EFC" w:rsidRPr="009D25A4" w:rsidRDefault="00B1757A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Dezvoltarea t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urismul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ui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şi agroturismul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ui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prin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amenajarea unor centre de odihnă, de agrement, de vânătoare, centre de pescuit, tabere de copii, moteluri, pensiuni, baze de agrement, de echitaţie ş.a.m.d;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Fonduri pentru amenajarea unor ferme specializate în creşterea ovinelor, bovinelor, a unor centre de preluare, valorificare şi prelucrare primară 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 produselor de origine animală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(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lapte, carne, lână, piei</w:t>
            </w:r>
            <w:r w:rsidR="00B1757A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etc.)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.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Accesarea unor investiţii în legumicultură prin amenajarea unor culturi specifice, sere sau solarii, prin utilizarea unor soiuri de înaltă productivitate, dotarea cu tehnologii moderne de lucru şi centre de prelucrare a legumelor;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Fonduri pentru dotarea cu tehnologii moderne de întreţinere şi cu centre de prelucrare a fructelor, pentru pomicultura şi viticultura;</w:t>
            </w:r>
          </w:p>
          <w:p w:rsidR="006F5603" w:rsidRPr="009D25A4" w:rsidRDefault="00626EFC" w:rsidP="006F5603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Interesul generațiilor tinere în a practica activități agricole;</w:t>
            </w:r>
          </w:p>
        </w:tc>
        <w:tc>
          <w:tcPr>
            <w:tcW w:w="4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Pierderea elementului natural si tradi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ional; 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Dezvoltarea unei agr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culturi nesustenabile;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Pierderea accesului la finan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are;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Afaceri nesustenabile;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>Scăderea valorii adăugate și a competitivității la nivel local</w:t>
            </w:r>
            <w:r w:rsidR="00B1757A"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>.</w:t>
            </w:r>
          </w:p>
        </w:tc>
      </w:tr>
      <w:tr w:rsidR="006F5603" w:rsidRPr="009D25A4" w:rsidTr="006F5603">
        <w:trPr>
          <w:trHeight w:val="300"/>
        </w:trPr>
        <w:tc>
          <w:tcPr>
            <w:tcW w:w="10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5603" w:rsidRPr="009D25A4" w:rsidRDefault="006F5603" w:rsidP="006F5603">
            <w:pPr>
              <w:pStyle w:val="ListParagraph"/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</w:p>
        </w:tc>
      </w:tr>
      <w:tr w:rsidR="00626EFC" w:rsidRPr="009D25A4" w:rsidTr="006F5603">
        <w:trPr>
          <w:trHeight w:val="232"/>
        </w:trPr>
        <w:tc>
          <w:tcPr>
            <w:tcW w:w="10110" w:type="dxa"/>
            <w:gridSpan w:val="3"/>
            <w:tcBorders>
              <w:top w:val="nil"/>
            </w:tcBorders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i/>
                <w:color w:val="FFFFFF" w:themeColor="background1"/>
                <w:sz w:val="22"/>
                <w:szCs w:val="22"/>
                <w:lang w:eastAsia="ro-RO"/>
              </w:rPr>
              <w:t>ORGANIZARE SOCIALĂ, INSTITUȚIONALĂ, CULTURALĂ, EDUCAȚIONALĂ</w:t>
            </w:r>
          </w:p>
        </w:tc>
      </w:tr>
      <w:tr w:rsidR="00626EFC" w:rsidRPr="009D25A4" w:rsidTr="00276E8F">
        <w:trPr>
          <w:trHeight w:val="232"/>
        </w:trPr>
        <w:tc>
          <w:tcPr>
            <w:tcW w:w="5310" w:type="dxa"/>
            <w:shd w:val="clear" w:color="auto" w:fill="000000" w:themeFill="text1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TARI</w:t>
            </w:r>
          </w:p>
        </w:tc>
        <w:tc>
          <w:tcPr>
            <w:tcW w:w="4800" w:type="dxa"/>
            <w:gridSpan w:val="2"/>
            <w:tcBorders>
              <w:top w:val="nil"/>
              <w:bottom w:val="single" w:sz="6" w:space="0" w:color="auto"/>
            </w:tcBorders>
            <w:shd w:val="clear" w:color="auto" w:fill="000000" w:themeFill="text1"/>
            <w:vAlign w:val="center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PUNCTE SLABE</w:t>
            </w:r>
          </w:p>
        </w:tc>
      </w:tr>
      <w:tr w:rsidR="00626EFC" w:rsidRPr="009D25A4" w:rsidTr="00276E8F">
        <w:trPr>
          <w:trHeight w:val="1353"/>
        </w:trPr>
        <w:tc>
          <w:tcPr>
            <w:tcW w:w="5310" w:type="dxa"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Deschiderea </w:t>
            </w:r>
            <w:r w:rsidR="00E17A4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UAT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c</w:t>
            </w:r>
            <w:r w:rsidR="00E17A4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tre parteneriate;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Existen</w:t>
            </w:r>
            <w:r w:rsidR="00E17A4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 asocia</w:t>
            </w:r>
            <w:r w:rsidR="00E17A4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iilor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: Asociația „Managementul Vieții”, Asociația „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 xml:space="preserve">Trifoiul Movileni”; Asociația Sportivă 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„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Gloria Românești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”, Fundația „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Corona”.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Existența Grupuri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lor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 xml:space="preserve"> de Pro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ducători și cooperative agrcole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: SC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 xml:space="preserve"> 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„Pomicola Recea-Plugari” SRL,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 xml:space="preserve"> Cooperativa Agricolă 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„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Țiglău Modruz</w:t>
            </w:r>
            <w:r w:rsidR="00265CE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”</w:t>
            </w:r>
            <w:r w:rsidR="006F5603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4800" w:type="dxa"/>
            <w:gridSpan w:val="2"/>
            <w:tcBorders>
              <w:bottom w:val="thickThinSmallGap" w:sz="24" w:space="0" w:color="auto"/>
            </w:tcBorders>
            <w:shd w:val="clear" w:color="auto" w:fill="EAF1DD" w:themeFill="accent3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umăr redus de grupuri de producă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tori;                              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Număr redus de cooperative de v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â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nzare a produselor; 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Numărul redus de organizatii si ONG-uri locale puternice care se implică în păstrarea identității culturale;  </w:t>
            </w:r>
          </w:p>
          <w:p w:rsidR="00626EFC" w:rsidRPr="009D25A4" w:rsidRDefault="00B1757A" w:rsidP="00B1757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lădiril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e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de patrimoniu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aflate într-o stare avansată de degradare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;  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Infrastructura educațională și culturală slabă;</w:t>
            </w:r>
          </w:p>
          <w:p w:rsidR="00626EFC" w:rsidRPr="009D25A4" w:rsidRDefault="00603DE5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Posibilități limitate de des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fășurare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activităților sportive în zonă;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Nivel scăzut de cunoștințe TIC;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Decalajul față de zonele urbane</w:t>
            </w:r>
            <w:r w:rsidR="00E17A4F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;</w:t>
            </w:r>
          </w:p>
          <w:p w:rsidR="00626EFC" w:rsidRPr="009D25A4" w:rsidRDefault="00E17A4F" w:rsidP="006F5603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Lipsa centrelor sociale</w:t>
            </w:r>
            <w:r w:rsidR="006F5603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(</w:t>
            </w:r>
            <w:r w:rsidR="00593BCD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pentru integrare</w:t>
            </w:r>
            <w:r w:rsidR="009574D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socială și</w:t>
            </w:r>
            <w:r w:rsidR="006F5603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/sau</w:t>
            </w:r>
            <w:r w:rsidR="009574D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pentru ajutorarea persoanelor defavorizate).</w:t>
            </w:r>
          </w:p>
        </w:tc>
      </w:tr>
    </w:tbl>
    <w:p w:rsidR="006F5603" w:rsidRPr="009D25A4" w:rsidRDefault="006F5603">
      <w:pPr>
        <w:rPr>
          <w:color w:val="000000" w:themeColor="text1"/>
        </w:rPr>
      </w:pPr>
    </w:p>
    <w:tbl>
      <w:tblPr>
        <w:tblW w:w="1011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00"/>
        <w:gridCol w:w="4710"/>
      </w:tblGrid>
      <w:tr w:rsidR="00626EFC" w:rsidRPr="009D25A4" w:rsidTr="006F5603">
        <w:trPr>
          <w:trHeight w:val="334"/>
        </w:trPr>
        <w:tc>
          <w:tcPr>
            <w:tcW w:w="5400" w:type="dxa"/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OPORTUNITATI</w:t>
            </w:r>
          </w:p>
        </w:tc>
        <w:tc>
          <w:tcPr>
            <w:tcW w:w="4710" w:type="dxa"/>
            <w:shd w:val="clear" w:color="auto" w:fill="000000" w:themeFill="text1"/>
            <w:vAlign w:val="bottom"/>
          </w:tcPr>
          <w:p w:rsidR="00626EFC" w:rsidRPr="005F1EE6" w:rsidRDefault="00626EFC" w:rsidP="004A0FB8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</w:pPr>
            <w:r w:rsidRPr="005F1EE6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  <w:lang w:eastAsia="ro-RO"/>
              </w:rPr>
              <w:t>AMENINTARI</w:t>
            </w:r>
          </w:p>
        </w:tc>
      </w:tr>
      <w:tr w:rsidR="00626EFC" w:rsidRPr="009D25A4" w:rsidTr="006F5603">
        <w:trPr>
          <w:trHeight w:val="1263"/>
        </w:trPr>
        <w:tc>
          <w:tcPr>
            <w:tcW w:w="5400" w:type="dxa"/>
            <w:shd w:val="clear" w:color="auto" w:fill="F2DBDB" w:themeFill="accent2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Prezentarea 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și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promovarea GAL-ului;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Organizarea la nivel de GAL </w:t>
            </w:r>
            <w:r w:rsidR="00603DE5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î</w:t>
            </w:r>
            <w:r w:rsidR="00B9391B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 diferite asociaț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ii profesionale;         </w:t>
            </w:r>
          </w:p>
          <w:p w:rsidR="00626EFC" w:rsidRPr="009D25A4" w:rsidRDefault="00B9391B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Schimburi de experienta, î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nfr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ățiri î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ntre comune; </w:t>
            </w:r>
          </w:p>
          <w:p w:rsidR="00626EFC" w:rsidRPr="009D25A4" w:rsidRDefault="00B9391B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Crearea de ONG-uri ș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 atragerea de fonduri;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Programe de finanțare pentru reabilitarea căminelor culturale;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Protejarea rezervațiilor naturale prin intermediul PNDR și Natura 2000;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Valorificarea tradițiilor culturale din zonă prin accesarea de programe cu finanțare europeană;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Apropierea de un centru universitar important la nivel european;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Apropierea de centre medicale performante.</w:t>
            </w:r>
          </w:p>
        </w:tc>
        <w:tc>
          <w:tcPr>
            <w:tcW w:w="4710" w:type="dxa"/>
            <w:shd w:val="clear" w:color="auto" w:fill="FDE9D9" w:themeFill="accent6" w:themeFillTint="33"/>
          </w:tcPr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Intreruperea programelor sociale;</w:t>
            </w:r>
          </w:p>
          <w:p w:rsidR="00626EFC" w:rsidRPr="009D25A4" w:rsidRDefault="00265CEC" w:rsidP="00265CEC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Pierderea tradițiilor, </w:t>
            </w:r>
            <w:r w:rsidR="00626EFC"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>obiceiurilor</w:t>
            </w:r>
            <w:r w:rsidRPr="009D25A4">
              <w:rPr>
                <w:rFonts w:ascii="Trebuchet MS" w:hAnsi="Trebuchet MS"/>
                <w:color w:val="000000" w:themeColor="text1"/>
                <w:sz w:val="22"/>
                <w:szCs w:val="22"/>
                <w:lang w:eastAsia="ro-RO"/>
              </w:rPr>
              <w:t xml:space="preserve"> și a a</w:t>
            </w:r>
            <w:r w:rsidR="00626EFC"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>ctivități</w:t>
            </w:r>
            <w:r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>lor</w:t>
            </w:r>
            <w:r w:rsidR="00626EFC"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 xml:space="preserve"> meșteșugărești tradiționale;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>Scăderea numărului de elevi;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>Scăderea interesului pentru activități culturale, recreaționale și sportive;</w:t>
            </w:r>
          </w:p>
          <w:p w:rsidR="00626EFC" w:rsidRPr="009D25A4" w:rsidRDefault="00626EFC" w:rsidP="004A0FB8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  <w:r w:rsidRPr="009D25A4">
              <w:rPr>
                <w:rFonts w:ascii="Trebuchet MS" w:hAnsi="Trebuchet MS"/>
                <w:bCs/>
                <w:color w:val="000000" w:themeColor="text1"/>
                <w:sz w:val="22"/>
                <w:szCs w:val="22"/>
                <w:lang w:eastAsia="ro-RO"/>
              </w:rPr>
              <w:t>Dificultatea accesării fondurilor nerambursabile din cauza lipsei cunoștințelor în domeniu.</w:t>
            </w:r>
          </w:p>
          <w:p w:rsidR="00626EFC" w:rsidRPr="009D25A4" w:rsidRDefault="00626EFC" w:rsidP="004A0FB8">
            <w:pPr>
              <w:pStyle w:val="ListParagraph"/>
              <w:spacing w:line="276" w:lineRule="auto"/>
              <w:jc w:val="both"/>
              <w:rPr>
                <w:rFonts w:ascii="Trebuchet MS" w:hAnsi="Trebuchet MS"/>
                <w:b/>
                <w:bCs/>
                <w:color w:val="000000" w:themeColor="text1"/>
                <w:sz w:val="22"/>
                <w:szCs w:val="22"/>
                <w:lang w:eastAsia="ro-RO"/>
              </w:rPr>
            </w:pPr>
          </w:p>
        </w:tc>
      </w:tr>
    </w:tbl>
    <w:p w:rsidR="006F5603" w:rsidRPr="009D25A4" w:rsidRDefault="006F5603" w:rsidP="006F5603">
      <w:pPr>
        <w:spacing w:line="276" w:lineRule="auto"/>
        <w:ind w:firstLine="720"/>
        <w:jc w:val="both"/>
        <w:rPr>
          <w:rFonts w:ascii="Trebuchet MS" w:hAnsi="Trebuchet MS"/>
          <w:b/>
          <w:color w:val="000000" w:themeColor="text1"/>
        </w:rPr>
      </w:pPr>
    </w:p>
    <w:p w:rsidR="008065E8" w:rsidRPr="009D25A4" w:rsidRDefault="008065E8" w:rsidP="006F5603">
      <w:pPr>
        <w:spacing w:line="276" w:lineRule="auto"/>
        <w:ind w:firstLine="720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Analiza SWOT detaliaza fiecare aspect 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prezentat î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n teritoriu fiind realizat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ă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, a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ș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adar, 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î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n conformitate cu analiza diagnostic. Prin urmare, toate elementele care se regasesc in partea I (Prezentarea teritoriului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 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- Anal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iza diagnostic) sunt analizate în cadrul matricei SWOT ș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i permit, astfel, identificarea corect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ă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 xml:space="preserve"> a punctelor tari 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ș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i slabe, a oportunit</w:t>
      </w:r>
      <w:r w:rsidR="00B9391B"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ăților și a amenință</w:t>
      </w:r>
      <w:r w:rsidRPr="009D25A4">
        <w:rPr>
          <w:rFonts w:ascii="Trebuchet MS" w:hAnsi="Trebuchet MS"/>
          <w:color w:val="000000" w:themeColor="text1"/>
          <w:sz w:val="22"/>
          <w:szCs w:val="22"/>
          <w:lang w:val="es-ES"/>
        </w:rPr>
        <w:t>rilor ce vizează teritoriul GAL Regiunea Rediu Prăjeni.</w:t>
      </w:r>
    </w:p>
    <w:p w:rsidR="008065E8" w:rsidRPr="009D25A4" w:rsidRDefault="00E66FA0" w:rsidP="00E66FA0">
      <w:pPr>
        <w:spacing w:before="40" w:line="276" w:lineRule="auto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ab/>
        <w:t xml:space="preserve">Strategia reprezintă </w:t>
      </w:r>
      <w:proofErr w:type="gramStart"/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un</w:t>
      </w:r>
      <w:proofErr w:type="gramEnd"/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mod de abordare a punctelor slabe prin consolidatea punctelor tari ale zonei, cu ajutorul oportunităților existente.</w:t>
      </w:r>
    </w:p>
    <w:p w:rsidR="008065E8" w:rsidRPr="009D25A4" w:rsidRDefault="00E13E5E" w:rsidP="00E13E5E">
      <w:pPr>
        <w:spacing w:before="40" w:line="276" w:lineRule="auto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ab/>
        <w:t xml:space="preserve">Necesitățile </w:t>
      </w:r>
      <w:proofErr w:type="gramStart"/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ce</w:t>
      </w:r>
      <w:proofErr w:type="gramEnd"/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reies din această analiză constau în: </w:t>
      </w:r>
    </w:p>
    <w:p w:rsidR="00E13E5E" w:rsidRPr="009D25A4" w:rsidRDefault="00E13E5E" w:rsidP="00E13E5E">
      <w:pPr>
        <w:pStyle w:val="ListParagraph"/>
        <w:numPr>
          <w:ilvl w:val="0"/>
          <w:numId w:val="48"/>
        </w:numPr>
        <w:spacing w:before="40" w:line="276" w:lineRule="auto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Promovarea dezvoltării economice în zonele rurale prin îmbunătățirea serviciilor pentru populație, încurajarea acțiunilor de protecție a mediului, încurajarea îmbunătățirii infrastructurii </w:t>
      </w:r>
      <w:r w:rsidR="00276E8F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rutiere, </w:t>
      </w: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sociale, educaționale, încurajarea și promovarea acțiunilor inovative, încurajarea măsurilor ce îmbunătățesc infrastructura TIC, încurajarea activităților economice non agricole, modernizarea întreprinderilor, conservarea patrimoniului cultural și arhitectural.</w:t>
      </w:r>
    </w:p>
    <w:p w:rsidR="00E13E5E" w:rsidRPr="009D25A4" w:rsidRDefault="008369DD" w:rsidP="00E13E5E">
      <w:pPr>
        <w:pStyle w:val="ListParagraph"/>
        <w:numPr>
          <w:ilvl w:val="0"/>
          <w:numId w:val="48"/>
        </w:numPr>
        <w:spacing w:before="40" w:line="276" w:lineRule="auto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Creșterea viabilității exploatațiilor și a competitivității tuturor tipurilor de agricultură în toate regiunile și promovarea tehnologiilor agricole inovatoare și a gestionării durabile a pădurilor prin: creșterea productivității muncii în agricultură, tehnoloizarea agriculturii, creșterea calității produselor agricole și non agricole, încurajarea și promovarea acțiunilor inovative, susținerea fermelor de semi-subzistență, creșterea nivelului de pregătire agricolă, întinerirea șefilor de exloatații.</w:t>
      </w:r>
    </w:p>
    <w:p w:rsidR="008369DD" w:rsidRPr="009D25A4" w:rsidRDefault="00265CEC" w:rsidP="00E13E5E">
      <w:pPr>
        <w:pStyle w:val="ListParagraph"/>
        <w:numPr>
          <w:ilvl w:val="0"/>
          <w:numId w:val="48"/>
        </w:numPr>
        <w:spacing w:before="40" w:line="276" w:lineRule="auto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Î</w:t>
      </w:r>
      <w:r w:rsidR="008369DD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ncurajarea transferului de cunoștințe și </w:t>
      </w:r>
      <w:proofErr w:type="gramStart"/>
      <w:r w:rsidR="008369DD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a</w:t>
      </w:r>
      <w:proofErr w:type="gramEnd"/>
      <w:r w:rsidR="008369DD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 xml:space="preserve"> inovării în agricultură, silvicultură și zonele rurale prin: încurajarea și promovarea acțiunilor in</w:t>
      </w:r>
      <w:r w:rsidR="00B9391B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ovative, încurajarea cooperării</w:t>
      </w:r>
      <w:bookmarkStart w:id="0" w:name="_GoBack"/>
      <w:bookmarkEnd w:id="0"/>
      <w:r w:rsidR="008369DD" w:rsidRPr="009D25A4">
        <w:rPr>
          <w:rFonts w:ascii="Trebuchet MS" w:eastAsia="Trebuchet MS" w:hAnsi="Trebuchet MS" w:cs="Trebuchet MS"/>
          <w:color w:val="000000" w:themeColor="text1"/>
          <w:sz w:val="22"/>
          <w:szCs w:val="22"/>
        </w:rPr>
        <w:t>, încurajarea transferului de cunoștințe și schimbului de infomații.</w:t>
      </w:r>
    </w:p>
    <w:p w:rsidR="002F75A7" w:rsidRPr="009D25A4" w:rsidRDefault="002F75A7" w:rsidP="008065E8">
      <w:pPr>
        <w:rPr>
          <w:color w:val="000000" w:themeColor="text1"/>
          <w:szCs w:val="22"/>
        </w:rPr>
      </w:pPr>
    </w:p>
    <w:sectPr w:rsidR="002F75A7" w:rsidRPr="009D25A4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1D" w:rsidRDefault="0099541D" w:rsidP="00794311">
      <w:r>
        <w:separator/>
      </w:r>
    </w:p>
  </w:endnote>
  <w:endnote w:type="continuationSeparator" w:id="0">
    <w:p w:rsidR="0099541D" w:rsidRDefault="0099541D" w:rsidP="007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1D" w:rsidRDefault="0099541D" w:rsidP="00794311">
      <w:r>
        <w:separator/>
      </w:r>
    </w:p>
  </w:footnote>
  <w:footnote w:type="continuationSeparator" w:id="0">
    <w:p w:rsidR="0099541D" w:rsidRDefault="0099541D" w:rsidP="007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Header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60"/>
    <w:multiLevelType w:val="multilevel"/>
    <w:tmpl w:val="00D21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B6C47"/>
    <w:multiLevelType w:val="hybridMultilevel"/>
    <w:tmpl w:val="4ED24B00"/>
    <w:lvl w:ilvl="0" w:tplc="289AF234">
      <w:start w:val="10"/>
      <w:numFmt w:val="bullet"/>
      <w:lvlText w:val="-"/>
      <w:lvlJc w:val="left"/>
      <w:pPr>
        <w:ind w:left="536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26E5AD8"/>
    <w:multiLevelType w:val="hybridMultilevel"/>
    <w:tmpl w:val="B6021DBE"/>
    <w:lvl w:ilvl="0" w:tplc="57048F48">
      <w:start w:val="1"/>
      <w:numFmt w:val="decimal"/>
      <w:lvlText w:val="%1)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6213B"/>
    <w:multiLevelType w:val="multilevel"/>
    <w:tmpl w:val="081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6CC00EB"/>
    <w:multiLevelType w:val="multilevel"/>
    <w:tmpl w:val="06CC00E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50092C"/>
    <w:multiLevelType w:val="multilevel"/>
    <w:tmpl w:val="0C500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A3ACB"/>
    <w:multiLevelType w:val="hybridMultilevel"/>
    <w:tmpl w:val="A0A8D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D7CA2"/>
    <w:multiLevelType w:val="multilevel"/>
    <w:tmpl w:val="0E7D7C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76D2E"/>
    <w:multiLevelType w:val="multilevel"/>
    <w:tmpl w:val="10B76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C472E"/>
    <w:multiLevelType w:val="hybridMultilevel"/>
    <w:tmpl w:val="4E3A5A1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77EBA"/>
    <w:multiLevelType w:val="hybridMultilevel"/>
    <w:tmpl w:val="1CF2F98E"/>
    <w:lvl w:ilvl="0" w:tplc="A03E12DE">
      <w:start w:val="1"/>
      <w:numFmt w:val="lowerLetter"/>
      <w:lvlText w:val="%1)"/>
      <w:lvlJc w:val="left"/>
      <w:pPr>
        <w:ind w:left="96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1">
    <w:nsid w:val="1D404733"/>
    <w:multiLevelType w:val="hybridMultilevel"/>
    <w:tmpl w:val="902A40F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30699"/>
    <w:multiLevelType w:val="hybridMultilevel"/>
    <w:tmpl w:val="AB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74847"/>
    <w:multiLevelType w:val="hybridMultilevel"/>
    <w:tmpl w:val="6C906C44"/>
    <w:lvl w:ilvl="0" w:tplc="6088DA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3402A"/>
    <w:multiLevelType w:val="hybridMultilevel"/>
    <w:tmpl w:val="B2F2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340BA1"/>
    <w:multiLevelType w:val="hybridMultilevel"/>
    <w:tmpl w:val="957AE5CE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32D52"/>
    <w:multiLevelType w:val="hybridMultilevel"/>
    <w:tmpl w:val="C3ECB0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B5744"/>
    <w:multiLevelType w:val="multilevel"/>
    <w:tmpl w:val="2B6B5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497D74"/>
    <w:multiLevelType w:val="hybridMultilevel"/>
    <w:tmpl w:val="30AEF41A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F0279"/>
    <w:multiLevelType w:val="hybridMultilevel"/>
    <w:tmpl w:val="D64A78BE"/>
    <w:lvl w:ilvl="0" w:tplc="84FE6F6A">
      <w:start w:val="5"/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7986"/>
    <w:multiLevelType w:val="hybridMultilevel"/>
    <w:tmpl w:val="D1901792"/>
    <w:lvl w:ilvl="0" w:tplc="041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F961E3E"/>
    <w:multiLevelType w:val="hybridMultilevel"/>
    <w:tmpl w:val="F752CD34"/>
    <w:lvl w:ilvl="0" w:tplc="4C04A4BA">
      <w:start w:val="5"/>
      <w:numFmt w:val="bullet"/>
      <w:lvlText w:val="-"/>
      <w:lvlJc w:val="left"/>
      <w:pPr>
        <w:ind w:left="964" w:hanging="360"/>
      </w:pPr>
      <w:rPr>
        <w:rFonts w:ascii="Trebuchet MS" w:eastAsia="Trebuchet MS" w:hAnsi="Trebuchet MS" w:cs="Trebuchet M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41FA5587"/>
    <w:multiLevelType w:val="hybridMultilevel"/>
    <w:tmpl w:val="C980D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36A68"/>
    <w:multiLevelType w:val="multilevel"/>
    <w:tmpl w:val="45D36A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111FFF"/>
    <w:multiLevelType w:val="hybridMultilevel"/>
    <w:tmpl w:val="6426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174F"/>
    <w:multiLevelType w:val="hybridMultilevel"/>
    <w:tmpl w:val="E1D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00301F"/>
    <w:multiLevelType w:val="hybridMultilevel"/>
    <w:tmpl w:val="6FDCDC40"/>
    <w:lvl w:ilvl="0" w:tplc="69E86210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0578B5"/>
    <w:multiLevelType w:val="multilevel"/>
    <w:tmpl w:val="510578B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1D1D73"/>
    <w:multiLevelType w:val="hybridMultilevel"/>
    <w:tmpl w:val="E4F6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B37C7"/>
    <w:multiLevelType w:val="hybridMultilevel"/>
    <w:tmpl w:val="11DC91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5038D"/>
    <w:multiLevelType w:val="hybridMultilevel"/>
    <w:tmpl w:val="D83E542A"/>
    <w:lvl w:ilvl="0" w:tplc="CD1EB4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E139D"/>
    <w:multiLevelType w:val="hybridMultilevel"/>
    <w:tmpl w:val="9C88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F4D2A"/>
    <w:multiLevelType w:val="hybridMultilevel"/>
    <w:tmpl w:val="F19C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7C4A"/>
    <w:multiLevelType w:val="multilevel"/>
    <w:tmpl w:val="5CCD7C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E0955C0"/>
    <w:multiLevelType w:val="hybridMultilevel"/>
    <w:tmpl w:val="989C0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34D25"/>
    <w:multiLevelType w:val="hybridMultilevel"/>
    <w:tmpl w:val="B244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55A2E"/>
    <w:multiLevelType w:val="hybridMultilevel"/>
    <w:tmpl w:val="C86C86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122A5"/>
    <w:multiLevelType w:val="multilevel"/>
    <w:tmpl w:val="633122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F50680"/>
    <w:multiLevelType w:val="hybridMultilevel"/>
    <w:tmpl w:val="52D65036"/>
    <w:lvl w:ilvl="0" w:tplc="A97C7022">
      <w:start w:val="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E44C8"/>
    <w:multiLevelType w:val="multilevel"/>
    <w:tmpl w:val="6A7E4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805CEA"/>
    <w:multiLevelType w:val="hybridMultilevel"/>
    <w:tmpl w:val="935E16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1061FA"/>
    <w:multiLevelType w:val="multilevel"/>
    <w:tmpl w:val="6C1061FA"/>
    <w:lvl w:ilvl="0">
      <w:numFmt w:val="bullet"/>
      <w:lvlText w:val="•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925D47"/>
    <w:multiLevelType w:val="hybridMultilevel"/>
    <w:tmpl w:val="BFFE0250"/>
    <w:lvl w:ilvl="0" w:tplc="A4DAD018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2" w:hanging="360"/>
      </w:pPr>
    </w:lvl>
    <w:lvl w:ilvl="2" w:tplc="0418001B" w:tentative="1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70471974"/>
    <w:multiLevelType w:val="hybridMultilevel"/>
    <w:tmpl w:val="8E9A0D44"/>
    <w:lvl w:ilvl="0" w:tplc="1C28A03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902A6"/>
    <w:multiLevelType w:val="multilevel"/>
    <w:tmpl w:val="7B4902A6"/>
    <w:lvl w:ilvl="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054E0"/>
    <w:multiLevelType w:val="hybridMultilevel"/>
    <w:tmpl w:val="DEDAE8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8601CB"/>
    <w:multiLevelType w:val="hybridMultilevel"/>
    <w:tmpl w:val="FE5E1F5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47"/>
  </w:num>
  <w:num w:numId="4">
    <w:abstractNumId w:val="18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34"/>
  </w:num>
  <w:num w:numId="10">
    <w:abstractNumId w:val="42"/>
  </w:num>
  <w:num w:numId="11">
    <w:abstractNumId w:val="28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26"/>
  </w:num>
  <w:num w:numId="17">
    <w:abstractNumId w:val="21"/>
  </w:num>
  <w:num w:numId="18">
    <w:abstractNumId w:val="16"/>
  </w:num>
  <w:num w:numId="19">
    <w:abstractNumId w:val="41"/>
  </w:num>
  <w:num w:numId="20">
    <w:abstractNumId w:val="1"/>
  </w:num>
  <w:num w:numId="21">
    <w:abstractNumId w:val="19"/>
  </w:num>
  <w:num w:numId="22">
    <w:abstractNumId w:val="36"/>
  </w:num>
  <w:num w:numId="23">
    <w:abstractNumId w:val="10"/>
  </w:num>
  <w:num w:numId="24">
    <w:abstractNumId w:val="32"/>
  </w:num>
  <w:num w:numId="25">
    <w:abstractNumId w:val="31"/>
  </w:num>
  <w:num w:numId="26">
    <w:abstractNumId w:val="43"/>
  </w:num>
  <w:num w:numId="27">
    <w:abstractNumId w:val="39"/>
  </w:num>
  <w:num w:numId="28">
    <w:abstractNumId w:val="24"/>
  </w:num>
  <w:num w:numId="29">
    <w:abstractNumId w:val="29"/>
  </w:num>
  <w:num w:numId="30">
    <w:abstractNumId w:val="5"/>
  </w:num>
  <w:num w:numId="31">
    <w:abstractNumId w:val="8"/>
  </w:num>
  <w:num w:numId="32">
    <w:abstractNumId w:val="27"/>
  </w:num>
  <w:num w:numId="33">
    <w:abstractNumId w:val="17"/>
  </w:num>
  <w:num w:numId="34">
    <w:abstractNumId w:val="40"/>
  </w:num>
  <w:num w:numId="35">
    <w:abstractNumId w:val="38"/>
  </w:num>
  <w:num w:numId="36">
    <w:abstractNumId w:val="45"/>
  </w:num>
  <w:num w:numId="37">
    <w:abstractNumId w:val="30"/>
  </w:num>
  <w:num w:numId="38">
    <w:abstractNumId w:val="22"/>
  </w:num>
  <w:num w:numId="39">
    <w:abstractNumId w:val="14"/>
  </w:num>
  <w:num w:numId="40">
    <w:abstractNumId w:val="37"/>
  </w:num>
  <w:num w:numId="41">
    <w:abstractNumId w:val="20"/>
  </w:num>
  <w:num w:numId="42">
    <w:abstractNumId w:val="12"/>
  </w:num>
  <w:num w:numId="43">
    <w:abstractNumId w:val="2"/>
  </w:num>
  <w:num w:numId="44">
    <w:abstractNumId w:val="25"/>
  </w:num>
  <w:num w:numId="45">
    <w:abstractNumId w:val="9"/>
  </w:num>
  <w:num w:numId="46">
    <w:abstractNumId w:val="46"/>
  </w:num>
  <w:num w:numId="47">
    <w:abstractNumId w:val="33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B8634A"/>
    <w:rsid w:val="00025689"/>
    <w:rsid w:val="000329D6"/>
    <w:rsid w:val="00032EF1"/>
    <w:rsid w:val="000368DB"/>
    <w:rsid w:val="000378FE"/>
    <w:rsid w:val="000802BC"/>
    <w:rsid w:val="000C1A0C"/>
    <w:rsid w:val="000D125F"/>
    <w:rsid w:val="000D5CFB"/>
    <w:rsid w:val="000F63C4"/>
    <w:rsid w:val="001049BE"/>
    <w:rsid w:val="00112406"/>
    <w:rsid w:val="001270A4"/>
    <w:rsid w:val="00127EE3"/>
    <w:rsid w:val="00161B22"/>
    <w:rsid w:val="00167BB6"/>
    <w:rsid w:val="001813CF"/>
    <w:rsid w:val="00186B9D"/>
    <w:rsid w:val="00191F47"/>
    <w:rsid w:val="001C6C34"/>
    <w:rsid w:val="001D1A2D"/>
    <w:rsid w:val="00213FFA"/>
    <w:rsid w:val="002218B6"/>
    <w:rsid w:val="00224942"/>
    <w:rsid w:val="0022717E"/>
    <w:rsid w:val="0023291B"/>
    <w:rsid w:val="00255491"/>
    <w:rsid w:val="00255732"/>
    <w:rsid w:val="00264097"/>
    <w:rsid w:val="00265CEC"/>
    <w:rsid w:val="00276E8F"/>
    <w:rsid w:val="002861FA"/>
    <w:rsid w:val="002876E7"/>
    <w:rsid w:val="00297BF5"/>
    <w:rsid w:val="00297C86"/>
    <w:rsid w:val="002A2779"/>
    <w:rsid w:val="002B2E1E"/>
    <w:rsid w:val="002B5DF4"/>
    <w:rsid w:val="002E34C8"/>
    <w:rsid w:val="002F75A7"/>
    <w:rsid w:val="00351556"/>
    <w:rsid w:val="00370A62"/>
    <w:rsid w:val="00373038"/>
    <w:rsid w:val="003807C7"/>
    <w:rsid w:val="00383B34"/>
    <w:rsid w:val="00384199"/>
    <w:rsid w:val="0038604C"/>
    <w:rsid w:val="003920C0"/>
    <w:rsid w:val="00392153"/>
    <w:rsid w:val="003951D9"/>
    <w:rsid w:val="00396F3F"/>
    <w:rsid w:val="003C1E96"/>
    <w:rsid w:val="003E345D"/>
    <w:rsid w:val="003E796C"/>
    <w:rsid w:val="00455D45"/>
    <w:rsid w:val="004576BF"/>
    <w:rsid w:val="00462523"/>
    <w:rsid w:val="00472827"/>
    <w:rsid w:val="0047763E"/>
    <w:rsid w:val="00481192"/>
    <w:rsid w:val="004814D8"/>
    <w:rsid w:val="00482B0C"/>
    <w:rsid w:val="00490427"/>
    <w:rsid w:val="00490BD8"/>
    <w:rsid w:val="004B4874"/>
    <w:rsid w:val="004C0C97"/>
    <w:rsid w:val="004D23A7"/>
    <w:rsid w:val="004E42CD"/>
    <w:rsid w:val="005136E9"/>
    <w:rsid w:val="00517370"/>
    <w:rsid w:val="00521712"/>
    <w:rsid w:val="005224F5"/>
    <w:rsid w:val="00524DE1"/>
    <w:rsid w:val="005434D5"/>
    <w:rsid w:val="00546AE8"/>
    <w:rsid w:val="00564C83"/>
    <w:rsid w:val="00586F22"/>
    <w:rsid w:val="00593BCD"/>
    <w:rsid w:val="00597131"/>
    <w:rsid w:val="0059766E"/>
    <w:rsid w:val="005A6804"/>
    <w:rsid w:val="005C6E07"/>
    <w:rsid w:val="005F05AC"/>
    <w:rsid w:val="005F0F22"/>
    <w:rsid w:val="005F17B6"/>
    <w:rsid w:val="005F1EE6"/>
    <w:rsid w:val="00603DE5"/>
    <w:rsid w:val="006168F2"/>
    <w:rsid w:val="006228AE"/>
    <w:rsid w:val="00626EFC"/>
    <w:rsid w:val="0062718F"/>
    <w:rsid w:val="00627950"/>
    <w:rsid w:val="00644E5C"/>
    <w:rsid w:val="00660D35"/>
    <w:rsid w:val="00666846"/>
    <w:rsid w:val="00671374"/>
    <w:rsid w:val="00696C00"/>
    <w:rsid w:val="006A2551"/>
    <w:rsid w:val="006A2B9F"/>
    <w:rsid w:val="006D2AF5"/>
    <w:rsid w:val="006D39E8"/>
    <w:rsid w:val="006E1699"/>
    <w:rsid w:val="006F0B4D"/>
    <w:rsid w:val="006F5603"/>
    <w:rsid w:val="00702FC0"/>
    <w:rsid w:val="00710665"/>
    <w:rsid w:val="007108C1"/>
    <w:rsid w:val="0071320D"/>
    <w:rsid w:val="00731E40"/>
    <w:rsid w:val="00744C49"/>
    <w:rsid w:val="007706F8"/>
    <w:rsid w:val="00777125"/>
    <w:rsid w:val="00794311"/>
    <w:rsid w:val="007A784B"/>
    <w:rsid w:val="007B13F0"/>
    <w:rsid w:val="007B23D4"/>
    <w:rsid w:val="007C2C48"/>
    <w:rsid w:val="007D78BF"/>
    <w:rsid w:val="007E2593"/>
    <w:rsid w:val="007E3806"/>
    <w:rsid w:val="007F1D9D"/>
    <w:rsid w:val="0080404F"/>
    <w:rsid w:val="008065E8"/>
    <w:rsid w:val="00812601"/>
    <w:rsid w:val="008245BE"/>
    <w:rsid w:val="00835C9E"/>
    <w:rsid w:val="008369DD"/>
    <w:rsid w:val="0083784C"/>
    <w:rsid w:val="0085043F"/>
    <w:rsid w:val="00860A9A"/>
    <w:rsid w:val="0087036B"/>
    <w:rsid w:val="0088754C"/>
    <w:rsid w:val="008A3F2A"/>
    <w:rsid w:val="008A7683"/>
    <w:rsid w:val="008C3E70"/>
    <w:rsid w:val="008C6535"/>
    <w:rsid w:val="008D0773"/>
    <w:rsid w:val="008D7558"/>
    <w:rsid w:val="00923004"/>
    <w:rsid w:val="0092305E"/>
    <w:rsid w:val="00923B69"/>
    <w:rsid w:val="00940815"/>
    <w:rsid w:val="00950957"/>
    <w:rsid w:val="009574DC"/>
    <w:rsid w:val="00971114"/>
    <w:rsid w:val="00972049"/>
    <w:rsid w:val="00976562"/>
    <w:rsid w:val="0099541D"/>
    <w:rsid w:val="009A1225"/>
    <w:rsid w:val="009B002C"/>
    <w:rsid w:val="009B7ECD"/>
    <w:rsid w:val="009D25A4"/>
    <w:rsid w:val="009D7039"/>
    <w:rsid w:val="009E4225"/>
    <w:rsid w:val="009F2AC2"/>
    <w:rsid w:val="009F3CD5"/>
    <w:rsid w:val="00A0479F"/>
    <w:rsid w:val="00A10C76"/>
    <w:rsid w:val="00A35717"/>
    <w:rsid w:val="00A47377"/>
    <w:rsid w:val="00A849E5"/>
    <w:rsid w:val="00A851C0"/>
    <w:rsid w:val="00AA3FBB"/>
    <w:rsid w:val="00AE359E"/>
    <w:rsid w:val="00AE3A1F"/>
    <w:rsid w:val="00B1225B"/>
    <w:rsid w:val="00B1757A"/>
    <w:rsid w:val="00B23A0F"/>
    <w:rsid w:val="00B31C9A"/>
    <w:rsid w:val="00B43542"/>
    <w:rsid w:val="00B50AE5"/>
    <w:rsid w:val="00B774E9"/>
    <w:rsid w:val="00B823C7"/>
    <w:rsid w:val="00B8634A"/>
    <w:rsid w:val="00B91096"/>
    <w:rsid w:val="00B9391B"/>
    <w:rsid w:val="00BA5CC7"/>
    <w:rsid w:val="00BA78D3"/>
    <w:rsid w:val="00BB2746"/>
    <w:rsid w:val="00BC10E4"/>
    <w:rsid w:val="00BD28B5"/>
    <w:rsid w:val="00BE15D2"/>
    <w:rsid w:val="00BE589F"/>
    <w:rsid w:val="00BE7446"/>
    <w:rsid w:val="00C00464"/>
    <w:rsid w:val="00C073B0"/>
    <w:rsid w:val="00C13631"/>
    <w:rsid w:val="00C15BFD"/>
    <w:rsid w:val="00C33CBC"/>
    <w:rsid w:val="00C440D4"/>
    <w:rsid w:val="00C46B3E"/>
    <w:rsid w:val="00C47F22"/>
    <w:rsid w:val="00C51EA3"/>
    <w:rsid w:val="00C52539"/>
    <w:rsid w:val="00C575C3"/>
    <w:rsid w:val="00C62A80"/>
    <w:rsid w:val="00CA6946"/>
    <w:rsid w:val="00CB08AE"/>
    <w:rsid w:val="00CF05EE"/>
    <w:rsid w:val="00CF5EAC"/>
    <w:rsid w:val="00D0240E"/>
    <w:rsid w:val="00D0776E"/>
    <w:rsid w:val="00D21B72"/>
    <w:rsid w:val="00D2527A"/>
    <w:rsid w:val="00D41133"/>
    <w:rsid w:val="00D53631"/>
    <w:rsid w:val="00D56774"/>
    <w:rsid w:val="00D72174"/>
    <w:rsid w:val="00D73DAE"/>
    <w:rsid w:val="00D75DC3"/>
    <w:rsid w:val="00D8626C"/>
    <w:rsid w:val="00D90E79"/>
    <w:rsid w:val="00D92C5F"/>
    <w:rsid w:val="00DA44E3"/>
    <w:rsid w:val="00DA5850"/>
    <w:rsid w:val="00E03E07"/>
    <w:rsid w:val="00E07E55"/>
    <w:rsid w:val="00E10051"/>
    <w:rsid w:val="00E124B3"/>
    <w:rsid w:val="00E13E5E"/>
    <w:rsid w:val="00E17A4F"/>
    <w:rsid w:val="00E256E6"/>
    <w:rsid w:val="00E269A7"/>
    <w:rsid w:val="00E37E72"/>
    <w:rsid w:val="00E57AF8"/>
    <w:rsid w:val="00E60126"/>
    <w:rsid w:val="00E66FA0"/>
    <w:rsid w:val="00E83EE2"/>
    <w:rsid w:val="00E95652"/>
    <w:rsid w:val="00EB2977"/>
    <w:rsid w:val="00EE6283"/>
    <w:rsid w:val="00F01F1B"/>
    <w:rsid w:val="00F0747B"/>
    <w:rsid w:val="00F23A25"/>
    <w:rsid w:val="00F24163"/>
    <w:rsid w:val="00F338AD"/>
    <w:rsid w:val="00F400FC"/>
    <w:rsid w:val="00F420E8"/>
    <w:rsid w:val="00F62A3B"/>
    <w:rsid w:val="00F645F6"/>
    <w:rsid w:val="00F81974"/>
    <w:rsid w:val="00FA475E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leGrid">
    <w:name w:val="Table Grid"/>
    <w:basedOn w:val="TableNormal"/>
    <w:uiPriority w:val="59"/>
    <w:rsid w:val="00E07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A431-7F06-49BE-B72D-4CEF0462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Consultanta Asus</cp:lastModifiedBy>
  <cp:revision>6</cp:revision>
  <cp:lastPrinted>2016-04-12T09:31:00Z</cp:lastPrinted>
  <dcterms:created xsi:type="dcterms:W3CDTF">2016-04-08T13:10:00Z</dcterms:created>
  <dcterms:modified xsi:type="dcterms:W3CDTF">2016-04-12T09:31:00Z</dcterms:modified>
</cp:coreProperties>
</file>