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9" w:rsidRPr="00E93BA9" w:rsidRDefault="00E93BA9" w:rsidP="00E93BA9">
      <w:pPr>
        <w:spacing w:after="200" w:line="276" w:lineRule="auto"/>
        <w:jc w:val="both"/>
        <w:rPr>
          <w:rFonts w:ascii="Trebuchet MS" w:eastAsia="Calibri" w:hAnsi="Trebuchet MS"/>
          <w:b/>
          <w:sz w:val="22"/>
          <w:szCs w:val="22"/>
        </w:rPr>
      </w:pPr>
      <w:r w:rsidRPr="00E93BA9">
        <w:rPr>
          <w:rFonts w:ascii="Trebuchet MS" w:eastAsia="Calibri" w:hAnsi="Trebuchet MS"/>
          <w:b/>
          <w:sz w:val="22"/>
          <w:szCs w:val="22"/>
        </w:rPr>
        <w:t xml:space="preserve">CAPITOLUL XI: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Procedura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evaluare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</w:t>
      </w:r>
      <w:r w:rsidR="00386C03">
        <w:rPr>
          <w:rFonts w:ascii="Trebuchet MS" w:eastAsia="Calibri" w:hAnsi="Trebuchet MS"/>
          <w:b/>
          <w:sz w:val="22"/>
          <w:szCs w:val="22"/>
          <w:lang w:val="ro-RO"/>
        </w:rPr>
        <w:t>ș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selec</w:t>
      </w:r>
      <w:r w:rsidR="00386C03">
        <w:rPr>
          <w:rFonts w:ascii="Trebuchet MS" w:eastAsia="Calibri" w:hAnsi="Trebuchet MS"/>
          <w:b/>
          <w:sz w:val="22"/>
          <w:szCs w:val="22"/>
        </w:rPr>
        <w:t>ț</w:t>
      </w:r>
      <w:r w:rsidRPr="00E93BA9">
        <w:rPr>
          <w:rFonts w:ascii="Trebuchet MS" w:eastAsia="Calibri" w:hAnsi="Trebuchet MS"/>
          <w:b/>
          <w:sz w:val="22"/>
          <w:szCs w:val="22"/>
        </w:rPr>
        <w:t>ie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a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proiectelor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depuse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b/>
          <w:sz w:val="22"/>
          <w:szCs w:val="22"/>
        </w:rPr>
        <w:t>î</w:t>
      </w:r>
      <w:r w:rsidRPr="00E93BA9">
        <w:rPr>
          <w:rFonts w:ascii="Trebuchet MS" w:eastAsia="Calibri" w:hAnsi="Trebuchet MS"/>
          <w:b/>
          <w:sz w:val="22"/>
          <w:szCs w:val="22"/>
        </w:rPr>
        <w:t>n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b/>
          <w:sz w:val="22"/>
          <w:szCs w:val="22"/>
        </w:rPr>
        <w:t>cadrul</w:t>
      </w:r>
      <w:proofErr w:type="spellEnd"/>
      <w:r w:rsidRPr="00E93BA9">
        <w:rPr>
          <w:rFonts w:ascii="Trebuchet MS" w:eastAsia="Calibri" w:hAnsi="Trebuchet MS"/>
          <w:b/>
          <w:sz w:val="22"/>
          <w:szCs w:val="22"/>
        </w:rPr>
        <w:t xml:space="preserve"> SDL</w:t>
      </w:r>
    </w:p>
    <w:p w:rsidR="00E93BA9" w:rsidRPr="00E93BA9" w:rsidRDefault="00E93BA9" w:rsidP="00E93BA9">
      <w:pPr>
        <w:spacing w:line="276" w:lineRule="auto"/>
        <w:jc w:val="both"/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</w:pPr>
      <w:r w:rsidRPr="00E93BA9">
        <w:rPr>
          <w:rFonts w:ascii="Trebuchet MS" w:eastAsia="Calibri" w:hAnsi="Trebuchet MS"/>
          <w:sz w:val="22"/>
          <w:szCs w:val="22"/>
        </w:rPr>
        <w:tab/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Componenta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</w:t>
      </w:r>
      <w:r w:rsidR="00386C03">
        <w:rPr>
          <w:rFonts w:ascii="Trebuchet MS" w:eastAsia="Calibri" w:hAnsi="Trebuchet MS"/>
          <w:sz w:val="22"/>
          <w:szCs w:val="22"/>
        </w:rPr>
        <w:t>ț</w:t>
      </w:r>
      <w:r w:rsidRPr="00E93BA9">
        <w:rPr>
          <w:rFonts w:ascii="Trebuchet MS" w:eastAsia="Calibri" w:hAnsi="Trebuchet MS"/>
          <w:sz w:val="22"/>
          <w:szCs w:val="22"/>
        </w:rPr>
        <w:t>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sz w:val="22"/>
          <w:szCs w:val="22"/>
        </w:rPr>
        <w:t>ș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Comisiei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</w:t>
      </w:r>
      <w:r w:rsidR="00386C03">
        <w:rPr>
          <w:rFonts w:ascii="Trebuchet MS" w:eastAsia="Calibri" w:hAnsi="Trebuchet MS"/>
          <w:sz w:val="22"/>
          <w:szCs w:val="22"/>
        </w:rPr>
        <w:t>ți</w:t>
      </w:r>
      <w:r w:rsidRPr="00E93BA9">
        <w:rPr>
          <w:rFonts w:ascii="Trebuchet MS" w:eastAsia="Calibri" w:hAnsi="Trebuchet MS"/>
          <w:sz w:val="22"/>
          <w:szCs w:val="22"/>
        </w:rPr>
        <w:t>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aprobat</w:t>
      </w:r>
      <w:r w:rsidR="00386C03">
        <w:rPr>
          <w:rFonts w:ascii="Trebuchet MS" w:eastAsia="Calibri" w:hAnsi="Trebuchet MS"/>
          <w:sz w:val="22"/>
          <w:szCs w:val="22"/>
        </w:rPr>
        <w:t>ă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</w:t>
      </w:r>
      <w:r w:rsidR="00386C03">
        <w:rPr>
          <w:rFonts w:ascii="Trebuchet MS" w:eastAsia="Calibri" w:hAnsi="Trebuchet MS"/>
          <w:sz w:val="22"/>
          <w:szCs w:val="22"/>
        </w:rPr>
        <w:t>ăt</w:t>
      </w:r>
      <w:r w:rsidRPr="00E93BA9">
        <w:rPr>
          <w:rFonts w:ascii="Trebuchet MS" w:eastAsia="Calibri" w:hAnsi="Trebuchet MS"/>
          <w:sz w:val="22"/>
          <w:szCs w:val="22"/>
        </w:rPr>
        <w:t>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Adunarea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General</w:t>
      </w:r>
      <w:r w:rsidR="00386C03">
        <w:rPr>
          <w:rFonts w:ascii="Trebuchet MS" w:eastAsia="Calibri" w:hAnsi="Trebuchet MS"/>
          <w:sz w:val="22"/>
          <w:szCs w:val="22"/>
        </w:rPr>
        <w:t>ă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Asocia</w:t>
      </w:r>
      <w:r w:rsidR="00386C03">
        <w:rPr>
          <w:rFonts w:ascii="Trebuchet MS" w:eastAsia="Calibri" w:hAnsi="Trebuchet MS"/>
          <w:sz w:val="22"/>
          <w:szCs w:val="22"/>
        </w:rPr>
        <w:t>ț</w:t>
      </w:r>
      <w:r w:rsidRPr="00E93BA9">
        <w:rPr>
          <w:rFonts w:ascii="Trebuchet MS" w:eastAsia="Calibri" w:hAnsi="Trebuchet MS"/>
          <w:sz w:val="22"/>
          <w:szCs w:val="22"/>
        </w:rPr>
        <w:t>iei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</w:t>
      </w:r>
      <w:r w:rsidR="00386C03">
        <w:rPr>
          <w:rFonts w:ascii="Trebuchet MS" w:eastAsia="Calibri" w:hAnsi="Trebuchet MS"/>
          <w:sz w:val="22"/>
          <w:szCs w:val="22"/>
        </w:rPr>
        <w:t>ție</w:t>
      </w:r>
      <w:proofErr w:type="spellEnd"/>
      <w:r w:rsidR="00386C03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sz w:val="22"/>
          <w:szCs w:val="22"/>
        </w:rPr>
        <w:t>va</w:t>
      </w:r>
      <w:proofErr w:type="spellEnd"/>
      <w:r w:rsidR="00386C03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sz w:val="22"/>
          <w:szCs w:val="22"/>
        </w:rPr>
        <w:t>fi</w:t>
      </w:r>
      <w:proofErr w:type="spellEnd"/>
      <w:r w:rsidR="00386C03">
        <w:rPr>
          <w:rFonts w:ascii="Trebuchet MS" w:eastAsia="Calibri" w:hAnsi="Trebuchet MS"/>
          <w:sz w:val="22"/>
          <w:szCs w:val="22"/>
        </w:rPr>
        <w:t xml:space="preserve"> format</w:t>
      </w:r>
      <w:r w:rsidRPr="00E93BA9">
        <w:rPr>
          <w:rFonts w:ascii="Trebuchet MS" w:eastAsia="Calibri" w:hAnsi="Trebuchet MS"/>
          <w:sz w:val="22"/>
          <w:szCs w:val="22"/>
        </w:rPr>
        <w:t xml:space="preserve"> din 7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membrii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reprezentan</w:t>
      </w:r>
      <w:r w:rsidR="00386C03">
        <w:rPr>
          <w:rFonts w:ascii="Trebuchet MS" w:eastAsia="Calibri" w:hAnsi="Trebuchet MS"/>
          <w:sz w:val="22"/>
          <w:szCs w:val="22"/>
        </w:rPr>
        <w:t>ț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sectorului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public,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privat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sz w:val="22"/>
          <w:szCs w:val="22"/>
        </w:rPr>
        <w:t>ș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societ</w:t>
      </w:r>
      <w:r w:rsidR="00386C03">
        <w:rPr>
          <w:rFonts w:ascii="Trebuchet MS" w:eastAsia="Calibri" w:hAnsi="Trebuchet MS"/>
          <w:sz w:val="22"/>
          <w:szCs w:val="22"/>
        </w:rPr>
        <w:t>ăț</w:t>
      </w:r>
      <w:r w:rsidRPr="00E93BA9">
        <w:rPr>
          <w:rFonts w:ascii="Trebuchet MS" w:eastAsia="Calibri" w:hAnsi="Trebuchet MS"/>
          <w:sz w:val="22"/>
          <w:szCs w:val="22"/>
        </w:rPr>
        <w:t>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civile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din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ponderea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partenerilor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priva</w:t>
      </w:r>
      <w:r w:rsidR="00386C03">
        <w:rPr>
          <w:rFonts w:ascii="Trebuchet MS" w:eastAsia="Calibri" w:hAnsi="Trebuchet MS"/>
          <w:sz w:val="22"/>
          <w:szCs w:val="22"/>
        </w:rPr>
        <w:t>ț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386C03">
        <w:rPr>
          <w:rFonts w:ascii="Trebuchet MS" w:eastAsia="Calibri" w:hAnsi="Trebuchet MS"/>
          <w:sz w:val="22"/>
          <w:szCs w:val="22"/>
        </w:rPr>
        <w:t>ș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societ</w:t>
      </w:r>
      <w:r w:rsidR="00386C03">
        <w:rPr>
          <w:rFonts w:ascii="Trebuchet MS" w:eastAsia="Calibri" w:hAnsi="Trebuchet MS"/>
          <w:sz w:val="22"/>
          <w:szCs w:val="22"/>
        </w:rPr>
        <w:t>ăț</w:t>
      </w:r>
      <w:r w:rsidRPr="00E93BA9">
        <w:rPr>
          <w:rFonts w:ascii="Trebuchet MS" w:eastAsia="Calibri" w:hAnsi="Trebuchet MS"/>
          <w:sz w:val="22"/>
          <w:szCs w:val="22"/>
        </w:rPr>
        <w:t>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civile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dep</w:t>
      </w:r>
      <w:r w:rsidR="00386C03">
        <w:rPr>
          <w:rFonts w:ascii="Trebuchet MS" w:eastAsia="Calibri" w:hAnsi="Trebuchet MS"/>
          <w:sz w:val="22"/>
          <w:szCs w:val="22"/>
        </w:rPr>
        <w:t>ăș</w:t>
      </w:r>
      <w:r w:rsidRPr="00E93BA9">
        <w:rPr>
          <w:rFonts w:ascii="Trebuchet MS" w:eastAsia="Calibri" w:hAnsi="Trebuchet MS"/>
          <w:sz w:val="22"/>
          <w:szCs w:val="22"/>
        </w:rPr>
        <w:t>este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50%.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fiecare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membru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al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</w:t>
      </w:r>
      <w:r w:rsidR="00386C03">
        <w:rPr>
          <w:rFonts w:ascii="Trebuchet MS" w:eastAsia="Calibri" w:hAnsi="Trebuchet MS"/>
          <w:sz w:val="22"/>
          <w:szCs w:val="22"/>
        </w:rPr>
        <w:t>ț</w:t>
      </w:r>
      <w:r w:rsidRPr="00E93BA9">
        <w:rPr>
          <w:rFonts w:ascii="Trebuchet MS" w:eastAsia="Calibri" w:hAnsi="Trebuchet MS"/>
          <w:sz w:val="22"/>
          <w:szCs w:val="22"/>
        </w:rPr>
        <w:t>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se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stabili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membru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supleant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>.</w:t>
      </w: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 xml:space="preserve"> Comisia de Contesta</w:t>
      </w:r>
      <w:r w:rsidR="00386C03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ț</w:t>
      </w: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ie va fi formata din 3 membrii si 3 suplean</w:t>
      </w:r>
      <w:r w:rsidR="00386C03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ț</w:t>
      </w: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i. Componența Comisiei de Contestație va respecta ponderile privind participarea public – privată aplicate pentru constituirea Comitetului de Selecție.</w:t>
      </w:r>
    </w:p>
    <w:p w:rsidR="00E93BA9" w:rsidRPr="00E93BA9" w:rsidRDefault="00E93BA9" w:rsidP="00E93BA9">
      <w:pPr>
        <w:spacing w:line="276" w:lineRule="auto"/>
        <w:ind w:firstLine="708"/>
        <w:jc w:val="both"/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</w:pP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Membrii Comitetului de Selecţie şi Comisiei de Contestaţie au următoarele obligaţii:</w:t>
      </w:r>
    </w:p>
    <w:p w:rsidR="00E93BA9" w:rsidRPr="00E93BA9" w:rsidRDefault="00E93BA9" w:rsidP="00E93BA9">
      <w:pPr>
        <w:spacing w:line="276" w:lineRule="auto"/>
        <w:jc w:val="both"/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</w:pP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1) de a respecta confidenţialitatea lucrărilor şi imparţialitatea în adoptarea deciziilor Comitetului de Selecţie şi Comisiei de Contestaţie; 2) adoptarea deciziilor se face numai de către preşedinte şi membri, prin vot majoritar; 3) consemnarea de către unul dintre membrii, desemnat, a deciziilor adoptate în cadrul Comitetului de Selecţie respectiv a Comisiei de Contestaţie; 4) de a se prezenta la lucrările programate de câte ori este nevoie; (membrii Comitetului de Selecție pot fi înlocuiți de către Adunarea Generală, prin vot majoritar dacă se constată că un membru nu își îndeplinește angajamen</w:t>
      </w:r>
      <w:r w:rsidR="00386C03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tele și obligațiile față de GAL</w:t>
      </w: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>; 5) de a studia rapoartele de evaluare şi de a decide cu privire la proiectele care vor fi finanţate în cadrul strategiei de dezvoltare a teritoriului; 6) de a raporta Adunării Generale cu privire la proiectele selectate; 7) de a respecta regulile conflictului de interes, completând o declarație in acest sens.</w:t>
      </w:r>
    </w:p>
    <w:p w:rsidR="00E93BA9" w:rsidRPr="00E93BA9" w:rsidRDefault="00E93BA9" w:rsidP="00E93BA9">
      <w:pPr>
        <w:spacing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E93BA9">
        <w:rPr>
          <w:rFonts w:ascii="Trebuchet MS" w:eastAsia="Calibri" w:hAnsi="Trebuchet MS" w:cs="Trebuchet MS"/>
          <w:color w:val="000000"/>
          <w:sz w:val="22"/>
          <w:szCs w:val="22"/>
          <w:lang w:val="ro-RO"/>
        </w:rPr>
        <w:t xml:space="preserve">          </w:t>
      </w:r>
      <w:r w:rsidRPr="00E93BA9">
        <w:rPr>
          <w:rFonts w:ascii="Trebuchet MS" w:eastAsia="Calibri" w:hAnsi="Trebuchet MS"/>
          <w:sz w:val="22"/>
          <w:szCs w:val="22"/>
          <w:lang w:val="ro-RO"/>
        </w:rPr>
        <w:t>La selecţia proiectelor, se va aplica regula „dublului cvorum”, respectiv pentru validarea voturilor, este necesar ca în momentul selecţiei să fie prezenţi cel puţin 50% din membrii comitetului de selecție, din care peste 50% să fie din mediul privat şi societate civilă. Dacă unul dintre proiectele depuse pentru selecție aparține unuia dintre membrii comitetului de selecție, persoana/organizația în cauză nu are drept de vot și nu va participa la întâlnirea comitetului respectiv.</w:t>
      </w:r>
      <w:r w:rsidRPr="00E93BA9">
        <w:rPr>
          <w:rFonts w:ascii="Trebuchet MS" w:eastAsia="Calibri" w:hAnsi="Trebuchet MS"/>
          <w:sz w:val="22"/>
          <w:szCs w:val="22"/>
        </w:rPr>
        <w:t xml:space="preserve"> </w:t>
      </w:r>
    </w:p>
    <w:p w:rsidR="00E93BA9" w:rsidRPr="00E93BA9" w:rsidRDefault="00E93BA9" w:rsidP="00E93BA9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E93BA9">
        <w:rPr>
          <w:rFonts w:ascii="Trebuchet MS" w:eastAsia="Calibri" w:hAnsi="Trebuchet MS"/>
          <w:sz w:val="22"/>
          <w:szCs w:val="22"/>
        </w:rPr>
        <w:t>Primirea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se face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responsabilul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secretariat, la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sediul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Regiunea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Rediu-Prajeni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judetul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Ia</w:t>
      </w:r>
      <w:r w:rsidR="00386C03">
        <w:rPr>
          <w:rFonts w:ascii="Trebuchet MS" w:eastAsia="Calibri" w:hAnsi="Trebuchet MS"/>
          <w:sz w:val="22"/>
          <w:szCs w:val="22"/>
        </w:rPr>
        <w:t>ș</w:t>
      </w:r>
      <w:r w:rsidRPr="00E93BA9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prin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inregistrare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intr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-un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registru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special.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Evaluarea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se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realizează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cu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respectarea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principiului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“4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ochi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”,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2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responsabilii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evaluator – 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angajat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completeaza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r w:rsidR="00386C03">
        <w:rPr>
          <w:rFonts w:ascii="Trebuchet MS" w:eastAsia="Calibri" w:hAnsi="Trebuchet MS"/>
          <w:sz w:val="22"/>
          <w:szCs w:val="22"/>
        </w:rPr>
        <w:t>ș</w:t>
      </w:r>
      <w:bookmarkStart w:id="0" w:name="_GoBack"/>
      <w:bookmarkEnd w:id="0"/>
      <w:r w:rsidRPr="00E93BA9">
        <w:rPr>
          <w:rFonts w:ascii="Trebuchet MS" w:eastAsia="Calibri" w:hAnsi="Trebuchet MS"/>
          <w:sz w:val="22"/>
          <w:szCs w:val="22"/>
        </w:rPr>
        <w:t xml:space="preserve"> 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angajat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verifica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baza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procedurilor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evaluare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proprii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precum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celor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din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manualele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proceduri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folosite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MADR,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respectiv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: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verifica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conformitatea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respectarea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critieriilor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eligibilitate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. </w:t>
      </w:r>
    </w:p>
    <w:p w:rsidR="00E93BA9" w:rsidRPr="00E93BA9" w:rsidRDefault="00E93BA9" w:rsidP="00E93BA9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E93BA9">
        <w:rPr>
          <w:rFonts w:ascii="Trebuchet MS" w:eastAsia="Calibri" w:hAnsi="Trebuchet MS"/>
          <w:sz w:val="22"/>
          <w:szCs w:val="22"/>
        </w:rPr>
        <w:t>După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încheierea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procesului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evaluare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emite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Intermediar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înscrise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retrase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neeligibile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neselectate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valoarea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acestora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numele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solicitanților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iar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punctajul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obținut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fiecare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criteriu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Intermediar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publicat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pagina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web a GAL.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baza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acestuia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GAL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transmite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rezultatele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solicitanți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.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Beneficiarii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au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fost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notificaţi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GAL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faptul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acestora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au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fost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declarate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neeligibile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nu au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fost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pot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depune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contestaţii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sediul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GAL.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Contestațiile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pot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depuse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termenele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stabilite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in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manualele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procedure.</w:t>
      </w:r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Contestaţiile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primite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analizate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Comisia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Contestaţie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care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elabora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un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Contestații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înaintat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publicat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pagina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web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proprie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>.</w:t>
      </w:r>
    </w:p>
    <w:p w:rsidR="00E93BA9" w:rsidRPr="00E93BA9" w:rsidRDefault="00E93BA9" w:rsidP="00E93BA9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E93BA9">
        <w:rPr>
          <w:rFonts w:ascii="Trebuchet MS" w:eastAsia="Calibri" w:hAnsi="Trebuchet MS"/>
          <w:sz w:val="22"/>
          <w:szCs w:val="22"/>
        </w:rPr>
        <w:lastRenderedPageBreak/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baza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Contestații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emite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final,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înscrise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retrase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neeligibile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neselectate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valoarea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acestora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numele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solicitanților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iar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punctajul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obținut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fiecare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criteriu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>.</w:t>
      </w:r>
      <w:r w:rsidRPr="00E93BA9">
        <w:rPr>
          <w:rFonts w:ascii="Calibri" w:eastAsia="Calibri" w:hAnsi="Calibri"/>
          <w:sz w:val="22"/>
          <w:szCs w:val="22"/>
          <w:lang w:val="ro-RO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Final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evidențiate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declarate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eligibile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selectate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baza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soluționării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contestațiilor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. GAL </w:t>
      </w:r>
      <w:proofErr w:type="spellStart"/>
      <w:proofErr w:type="gram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proofErr w:type="gram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publica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pagina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web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proprie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Raportul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Final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înștiința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solicitanții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asupra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rezultatelor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procesului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evaluare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E93BA9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E93BA9">
        <w:rPr>
          <w:rFonts w:ascii="Trebuchet MS" w:eastAsia="Calibri" w:hAnsi="Trebuchet MS"/>
          <w:sz w:val="22"/>
          <w:szCs w:val="22"/>
        </w:rPr>
        <w:t>.</w:t>
      </w:r>
    </w:p>
    <w:p w:rsidR="00E93BA9" w:rsidRPr="00E93BA9" w:rsidRDefault="00E93BA9" w:rsidP="00E93BA9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</w:p>
    <w:p w:rsidR="00E93BA9" w:rsidRPr="002432DC" w:rsidRDefault="00E93BA9" w:rsidP="002432DC">
      <w:pPr>
        <w:spacing w:after="200" w:line="276" w:lineRule="auto"/>
        <w:ind w:left="142" w:right="-426"/>
        <w:contextualSpacing/>
        <w:jc w:val="right"/>
        <w:rPr>
          <w:rFonts w:ascii="Trebuchet MS" w:eastAsia="Calibri" w:hAnsi="Trebuchet MS"/>
          <w:i/>
          <w:color w:val="000000"/>
          <w:sz w:val="22"/>
          <w:szCs w:val="22"/>
          <w:lang w:val="ro-RO"/>
        </w:rPr>
      </w:pPr>
      <w:r w:rsidRPr="002432DC">
        <w:rPr>
          <w:rFonts w:ascii="Trebuchet MS" w:eastAsia="Calibri" w:hAnsi="Trebuchet MS"/>
          <w:i/>
          <w:color w:val="000000"/>
          <w:sz w:val="22"/>
          <w:szCs w:val="22"/>
          <w:lang w:val="ro-RO"/>
        </w:rPr>
        <w:t>Tabelul</w:t>
      </w:r>
      <w:r w:rsidR="002432DC" w:rsidRPr="002432DC">
        <w:rPr>
          <w:rFonts w:ascii="Trebuchet MS" w:eastAsia="Calibri" w:hAnsi="Trebuchet MS"/>
          <w:i/>
          <w:color w:val="000000"/>
          <w:sz w:val="22"/>
          <w:szCs w:val="22"/>
          <w:lang w:val="ro-RO"/>
        </w:rPr>
        <w:t xml:space="preserve"> nr. 10</w:t>
      </w:r>
      <w:r w:rsidRPr="002432DC">
        <w:rPr>
          <w:rFonts w:ascii="Trebuchet MS" w:eastAsia="Calibri" w:hAnsi="Trebuchet MS"/>
          <w:i/>
          <w:color w:val="000000"/>
          <w:sz w:val="22"/>
          <w:szCs w:val="22"/>
          <w:lang w:val="ro-RO"/>
        </w:rPr>
        <w:t xml:space="preserve"> </w:t>
      </w:r>
      <w:r w:rsidR="002432DC" w:rsidRPr="002432DC">
        <w:rPr>
          <w:rFonts w:ascii="Trebuchet MS" w:eastAsia="Calibri" w:hAnsi="Trebuchet MS"/>
          <w:i/>
          <w:color w:val="000000"/>
          <w:sz w:val="22"/>
          <w:szCs w:val="22"/>
          <w:lang w:val="ro-RO"/>
        </w:rPr>
        <w:t>-</w:t>
      </w:r>
      <w:r w:rsidRPr="002432DC">
        <w:rPr>
          <w:rFonts w:ascii="Trebuchet MS" w:eastAsia="Calibri" w:hAnsi="Trebuchet MS"/>
          <w:i/>
          <w:color w:val="000000"/>
          <w:sz w:val="22"/>
          <w:szCs w:val="22"/>
          <w:lang w:val="ro-RO"/>
        </w:rPr>
        <w:t xml:space="preserve"> componenţa Comitetului de Selecţie: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18"/>
        <w:gridCol w:w="9"/>
        <w:gridCol w:w="2409"/>
        <w:gridCol w:w="3869"/>
      </w:tblGrid>
      <w:tr w:rsidR="00E93BA9" w:rsidRPr="007858D5" w:rsidTr="00E93BA9">
        <w:trPr>
          <w:cantSplit/>
          <w:trHeight w:val="320"/>
          <w:jc w:val="center"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PARTENERI PUBLICI  - 14%</w:t>
            </w:r>
          </w:p>
        </w:tc>
      </w:tr>
      <w:tr w:rsidR="00E93BA9" w:rsidRPr="007858D5" w:rsidTr="00E93BA9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Funcţia în CS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Tip/Observatii</w:t>
            </w:r>
          </w:p>
        </w:tc>
      </w:tr>
      <w:tr w:rsidR="00E93BA9" w:rsidRPr="007858D5" w:rsidTr="009628DF">
        <w:trPr>
          <w:trHeight w:val="35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Unitate Administrativ Teritorial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Vlădeni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Administra</w:t>
            </w:r>
            <w:r w:rsid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ț</w:t>
            </w: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ie public</w:t>
            </w:r>
            <w:r w:rsid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 xml:space="preserve"> local</w:t>
            </w:r>
            <w:r w:rsid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E93BA9">
        <w:trPr>
          <w:cantSplit/>
          <w:jc w:val="center"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PARTENERI PRIVAŢI  - 43%</w:t>
            </w:r>
          </w:p>
        </w:tc>
      </w:tr>
      <w:tr w:rsidR="00E93BA9" w:rsidRPr="007858D5" w:rsidTr="009628DF">
        <w:trPr>
          <w:trHeight w:val="233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Funcţia în CS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7858D5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Tip/Observa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ț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ii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Comercial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  <w:p w:rsidR="009628DF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ROGIPA SRL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cu R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spundere Limitat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Centrul medical CARDIODENT SRL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Societate cu 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R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spundere Limitat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Societate 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Comercial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MAD CONSTRUCT SRL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Societate cu 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R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spundere Limitat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E93BA9">
        <w:trPr>
          <w:cantSplit/>
          <w:jc w:val="center"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93BA9" w:rsidRPr="007858D5" w:rsidRDefault="00E93BA9" w:rsidP="007858D5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CIVIL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 - 43%</w:t>
            </w:r>
          </w:p>
        </w:tc>
      </w:tr>
      <w:tr w:rsidR="00E93BA9" w:rsidRPr="007858D5" w:rsidTr="00E93BA9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Funcţia în CS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Tip/Observatii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Asocia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ț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i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 „Trifoiul Movileni”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ONG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7858D5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Asocia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ț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i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 sportivă „Gloria Românești”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ONG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9628DF" w:rsidP="009628DF">
            <w:pPr>
              <w:spacing w:line="276" w:lineRule="auto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Fundația corona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ONG</w:t>
            </w:r>
          </w:p>
        </w:tc>
      </w:tr>
      <w:tr w:rsidR="00E93BA9" w:rsidRPr="007858D5" w:rsidTr="00E93BA9">
        <w:trPr>
          <w:cantSplit/>
          <w:jc w:val="center"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93BA9" w:rsidRPr="007858D5" w:rsidRDefault="00E93BA9" w:rsidP="00E93BA9">
            <w:pPr>
              <w:spacing w:line="276" w:lineRule="auto"/>
              <w:ind w:left="142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Membrii Supleanti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Partener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Funcţia în CC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Tip/Observatii</w:t>
            </w:r>
          </w:p>
        </w:tc>
      </w:tr>
      <w:tr w:rsidR="00E93BA9" w:rsidRPr="007858D5" w:rsidTr="009628DF">
        <w:trPr>
          <w:trHeight w:val="35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Comercial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  <w:p w:rsidR="009628DF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„LA HAIDĂU”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cu R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spundere Limitat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Societate </w:t>
            </w:r>
            <w:r w:rsidR="007858D5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Comercial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  <w:p w:rsidR="009628DF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9628DF">
              <w:rPr>
                <w:rFonts w:ascii="Trebuchet MS" w:eastAsia="Calibri" w:hAnsi="Trebuchet MS"/>
                <w:b/>
                <w:sz w:val="22"/>
                <w:szCs w:val="22"/>
              </w:rPr>
              <w:t>FERMA LA BUNICI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cu R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spundere Limitat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Agricol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</w:t>
            </w:r>
            <w:r w:rsidR="009628DF" w:rsidRPr="009628DF">
              <w:rPr>
                <w:rFonts w:ascii="Trebuchet MS" w:eastAsia="Calibri" w:hAnsi="Trebuchet MS"/>
                <w:b/>
                <w:sz w:val="22"/>
                <w:szCs w:val="22"/>
              </w:rPr>
              <w:t xml:space="preserve">„Ceres </w:t>
            </w:r>
            <w:proofErr w:type="spellStart"/>
            <w:r w:rsidR="009628DF" w:rsidRPr="009628DF">
              <w:rPr>
                <w:rFonts w:ascii="Trebuchet MS" w:eastAsia="Calibri" w:hAnsi="Trebuchet MS"/>
                <w:b/>
                <w:sz w:val="22"/>
                <w:szCs w:val="22"/>
              </w:rPr>
              <w:t>Plugari</w:t>
            </w:r>
            <w:proofErr w:type="spellEnd"/>
            <w:r w:rsidR="009628DF" w:rsidRPr="009628DF">
              <w:rPr>
                <w:rFonts w:ascii="Trebuchet MS" w:eastAsia="Calibri" w:hAnsi="Trebuchet MS"/>
                <w:b/>
                <w:sz w:val="22"/>
                <w:szCs w:val="22"/>
              </w:rPr>
              <w:t>”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Societate Agricol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F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FA Iliescu Ionuț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7858D5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Persoan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Fizic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Autorizat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cantSplit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PFA Lipșă Magdalena Viorica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7858D5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Persoan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Fizic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 Autorizat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cantSplit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9628DF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II Iftode Vasile Valentin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7858D5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Î</w:t>
            </w:r>
            <w:r w:rsidR="00E93BA9"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ntreprindere Individual</w:t>
            </w:r>
            <w:r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ă</w:t>
            </w:r>
          </w:p>
        </w:tc>
      </w:tr>
      <w:tr w:rsidR="00E93BA9" w:rsidRPr="007858D5" w:rsidTr="009628DF">
        <w:trPr>
          <w:cantSplit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Asocia</w:t>
            </w:r>
            <w:r w:rsid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ț</w:t>
            </w: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i</w:t>
            </w:r>
            <w:r w:rsidR="009628DF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a </w:t>
            </w:r>
            <w:r w:rsidR="009628DF" w:rsidRPr="009628DF">
              <w:rPr>
                <w:rFonts w:ascii="Trebuchet MS" w:eastAsia="Calibri" w:hAnsi="Trebuchet MS"/>
                <w:b/>
                <w:sz w:val="22"/>
                <w:szCs w:val="22"/>
              </w:rPr>
              <w:t>„</w:t>
            </w:r>
            <w:proofErr w:type="spellStart"/>
            <w:r w:rsidR="009628DF">
              <w:rPr>
                <w:rFonts w:ascii="Trebuchet MS" w:eastAsia="Calibri" w:hAnsi="Trebuchet MS"/>
                <w:b/>
                <w:sz w:val="22"/>
                <w:szCs w:val="22"/>
              </w:rPr>
              <w:t>Managementul</w:t>
            </w:r>
            <w:proofErr w:type="spellEnd"/>
            <w:r w:rsidR="009628DF">
              <w:rPr>
                <w:rFonts w:ascii="Trebuchet MS" w:eastAsia="Calibri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9628DF">
              <w:rPr>
                <w:rFonts w:ascii="Trebuchet MS" w:eastAsia="Calibri" w:hAnsi="Trebuchet MS"/>
                <w:b/>
                <w:sz w:val="22"/>
                <w:szCs w:val="22"/>
              </w:rPr>
              <w:t>Vieții</w:t>
            </w:r>
            <w:proofErr w:type="spellEnd"/>
            <w:r w:rsidR="009628DF" w:rsidRPr="009628DF">
              <w:rPr>
                <w:rFonts w:ascii="Trebuchet MS" w:eastAsia="Calibri" w:hAnsi="Trebuchet MS"/>
                <w:b/>
                <w:sz w:val="22"/>
                <w:szCs w:val="22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jc w:val="center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sz w:val="22"/>
                <w:szCs w:val="22"/>
                <w:lang w:val="ro-RO"/>
              </w:rPr>
              <w:t>membru supleant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A9" w:rsidRPr="007858D5" w:rsidRDefault="00E93BA9" w:rsidP="009628DF">
            <w:pPr>
              <w:spacing w:line="276" w:lineRule="auto"/>
              <w:ind w:left="142"/>
              <w:jc w:val="center"/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</w:pPr>
            <w:r w:rsidRPr="007858D5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ONG</w:t>
            </w:r>
          </w:p>
        </w:tc>
      </w:tr>
    </w:tbl>
    <w:p w:rsidR="002F75A7" w:rsidRPr="00E93BA9" w:rsidRDefault="002F75A7" w:rsidP="00E93BA9">
      <w:pPr>
        <w:rPr>
          <w:szCs w:val="22"/>
        </w:rPr>
      </w:pPr>
    </w:p>
    <w:sectPr w:rsidR="002F75A7" w:rsidRPr="00E93BA9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61" w:rsidRDefault="009B5561" w:rsidP="00794311">
      <w:r>
        <w:separator/>
      </w:r>
    </w:p>
  </w:endnote>
  <w:endnote w:type="continuationSeparator" w:id="0">
    <w:p w:rsidR="009B5561" w:rsidRDefault="009B5561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61" w:rsidRDefault="009B5561" w:rsidP="00794311">
      <w:r>
        <w:separator/>
      </w:r>
    </w:p>
  </w:footnote>
  <w:footnote w:type="continuationSeparator" w:id="0">
    <w:p w:rsidR="009B5561" w:rsidRDefault="009B5561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4500D"/>
    <w:multiLevelType w:val="hybridMultilevel"/>
    <w:tmpl w:val="85F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6F2F22E3"/>
    <w:multiLevelType w:val="hybridMultilevel"/>
    <w:tmpl w:val="512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48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4"/>
  </w:num>
  <w:num w:numId="29">
    <w:abstractNumId w:val="3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6"/>
  </w:num>
  <w:num w:numId="37">
    <w:abstractNumId w:val="31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7"/>
  </w:num>
  <w:num w:numId="47">
    <w:abstractNumId w:val="34"/>
  </w:num>
  <w:num w:numId="48">
    <w:abstractNumId w:val="28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1600E"/>
    <w:rsid w:val="000329D6"/>
    <w:rsid w:val="00032EF1"/>
    <w:rsid w:val="000368DB"/>
    <w:rsid w:val="000802BC"/>
    <w:rsid w:val="000D125F"/>
    <w:rsid w:val="000D5CFB"/>
    <w:rsid w:val="000F63C4"/>
    <w:rsid w:val="00112406"/>
    <w:rsid w:val="00127EE3"/>
    <w:rsid w:val="00137399"/>
    <w:rsid w:val="001813CF"/>
    <w:rsid w:val="00186B9D"/>
    <w:rsid w:val="00191F47"/>
    <w:rsid w:val="001C6C34"/>
    <w:rsid w:val="001D1A2D"/>
    <w:rsid w:val="00213FFA"/>
    <w:rsid w:val="002218B6"/>
    <w:rsid w:val="0022717E"/>
    <w:rsid w:val="0023291B"/>
    <w:rsid w:val="00233078"/>
    <w:rsid w:val="002432DC"/>
    <w:rsid w:val="00255491"/>
    <w:rsid w:val="00255732"/>
    <w:rsid w:val="002751C7"/>
    <w:rsid w:val="002861FA"/>
    <w:rsid w:val="00297BF5"/>
    <w:rsid w:val="00297C86"/>
    <w:rsid w:val="002A2779"/>
    <w:rsid w:val="002A419E"/>
    <w:rsid w:val="002B2E1E"/>
    <w:rsid w:val="002B5DF4"/>
    <w:rsid w:val="002E34C8"/>
    <w:rsid w:val="002F75A7"/>
    <w:rsid w:val="00326811"/>
    <w:rsid w:val="00351556"/>
    <w:rsid w:val="00370A62"/>
    <w:rsid w:val="00373038"/>
    <w:rsid w:val="003807C7"/>
    <w:rsid w:val="00384199"/>
    <w:rsid w:val="0038604C"/>
    <w:rsid w:val="00386C03"/>
    <w:rsid w:val="00392153"/>
    <w:rsid w:val="003951D9"/>
    <w:rsid w:val="00396F3F"/>
    <w:rsid w:val="003C1E96"/>
    <w:rsid w:val="003E345D"/>
    <w:rsid w:val="003E51AB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86F22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4E5C"/>
    <w:rsid w:val="00660D35"/>
    <w:rsid w:val="0066519A"/>
    <w:rsid w:val="00666846"/>
    <w:rsid w:val="00671374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47914"/>
    <w:rsid w:val="007706F8"/>
    <w:rsid w:val="007858D5"/>
    <w:rsid w:val="00794311"/>
    <w:rsid w:val="007A784B"/>
    <w:rsid w:val="007B13F0"/>
    <w:rsid w:val="007B23D4"/>
    <w:rsid w:val="007C0162"/>
    <w:rsid w:val="007C2C48"/>
    <w:rsid w:val="007D78BF"/>
    <w:rsid w:val="007E2593"/>
    <w:rsid w:val="007E3806"/>
    <w:rsid w:val="007F1D9D"/>
    <w:rsid w:val="008051E3"/>
    <w:rsid w:val="00812601"/>
    <w:rsid w:val="008245BE"/>
    <w:rsid w:val="00835C9E"/>
    <w:rsid w:val="0083784C"/>
    <w:rsid w:val="0085043F"/>
    <w:rsid w:val="00860A9A"/>
    <w:rsid w:val="0087036B"/>
    <w:rsid w:val="0088754C"/>
    <w:rsid w:val="008A3F2A"/>
    <w:rsid w:val="008A7683"/>
    <w:rsid w:val="008C10DD"/>
    <w:rsid w:val="008C3E70"/>
    <w:rsid w:val="008C6535"/>
    <w:rsid w:val="008D0773"/>
    <w:rsid w:val="008D7558"/>
    <w:rsid w:val="00912269"/>
    <w:rsid w:val="00923004"/>
    <w:rsid w:val="0092305E"/>
    <w:rsid w:val="00923B69"/>
    <w:rsid w:val="00950957"/>
    <w:rsid w:val="009628DF"/>
    <w:rsid w:val="00971114"/>
    <w:rsid w:val="00972049"/>
    <w:rsid w:val="00976177"/>
    <w:rsid w:val="00991807"/>
    <w:rsid w:val="009A1225"/>
    <w:rsid w:val="009B002C"/>
    <w:rsid w:val="009B5561"/>
    <w:rsid w:val="009B7ECD"/>
    <w:rsid w:val="009D7039"/>
    <w:rsid w:val="009E4225"/>
    <w:rsid w:val="009F2AC2"/>
    <w:rsid w:val="00A0479F"/>
    <w:rsid w:val="00A05E64"/>
    <w:rsid w:val="00A10C76"/>
    <w:rsid w:val="00A35717"/>
    <w:rsid w:val="00A47377"/>
    <w:rsid w:val="00A849E5"/>
    <w:rsid w:val="00A851C0"/>
    <w:rsid w:val="00AA3FBB"/>
    <w:rsid w:val="00AA492A"/>
    <w:rsid w:val="00AE359E"/>
    <w:rsid w:val="00B1225B"/>
    <w:rsid w:val="00B23A0F"/>
    <w:rsid w:val="00B31C9A"/>
    <w:rsid w:val="00B43542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BF4FAE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F05EE"/>
    <w:rsid w:val="00CF1F87"/>
    <w:rsid w:val="00CF5EAC"/>
    <w:rsid w:val="00D0240E"/>
    <w:rsid w:val="00D21B72"/>
    <w:rsid w:val="00D2527A"/>
    <w:rsid w:val="00D41133"/>
    <w:rsid w:val="00D53631"/>
    <w:rsid w:val="00D56774"/>
    <w:rsid w:val="00D72174"/>
    <w:rsid w:val="00D73DAE"/>
    <w:rsid w:val="00D75E43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3BA9"/>
    <w:rsid w:val="00E95652"/>
    <w:rsid w:val="00EB2977"/>
    <w:rsid w:val="00EF630A"/>
    <w:rsid w:val="00F01F1B"/>
    <w:rsid w:val="00F23A25"/>
    <w:rsid w:val="00F24163"/>
    <w:rsid w:val="00F400FC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CCCD-6F4F-4B3C-A00D-DDDB504D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2</cp:revision>
  <cp:lastPrinted>2016-04-20T14:42:00Z</cp:lastPrinted>
  <dcterms:created xsi:type="dcterms:W3CDTF">2016-04-20T15:06:00Z</dcterms:created>
  <dcterms:modified xsi:type="dcterms:W3CDTF">2016-04-20T15:06:00Z</dcterms:modified>
</cp:coreProperties>
</file>